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9B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BE09E51">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0560FA0">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65.150</w:t>
            </w:r>
            <w:r>
              <w:rPr>
                <w:rFonts w:ascii="黑体" w:hAnsi="黑体" w:eastAsia="黑体"/>
                <w:sz w:val="21"/>
                <w:szCs w:val="21"/>
              </w:rPr>
              <w:fldChar w:fldCharType="end"/>
            </w:r>
            <w:bookmarkEnd w:id="0"/>
          </w:p>
        </w:tc>
      </w:tr>
      <w:tr w14:paraId="1240E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3E8B5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57E60A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 12</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EC1663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6193393">
            <w:pPr>
              <w:pStyle w:val="51"/>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4E89DD1A">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01EB469">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202</w:t>
      </w:r>
      <w:r>
        <w:rPr>
          <w:lang w:val="fr-FR"/>
        </w:rPr>
        <w:t>X</w:t>
      </w:r>
      <w:r>
        <w:fldChar w:fldCharType="end"/>
      </w:r>
      <w:bookmarkEnd w:id="7"/>
    </w:p>
    <w:p w14:paraId="23483E87">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7DB41E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5BA1B6D">
      <w:pPr>
        <w:pStyle w:val="52"/>
        <w:framePr w:w="9639" w:h="6976" w:hRule="exact" w:hSpace="0" w:vSpace="0" w:wrap="around" w:hAnchor="page" w:y="6408"/>
        <w:jc w:val="center"/>
        <w:rPr>
          <w:rFonts w:hint="eastAsia" w:ascii="黑体" w:hAnsi="黑体" w:eastAsia="黑体"/>
          <w:b w:val="0"/>
          <w:bCs w:val="0"/>
          <w:w w:val="100"/>
        </w:rPr>
      </w:pPr>
    </w:p>
    <w:p w14:paraId="477A27A9">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光伏渔业池塘建设通用技术规范</w:t>
      </w:r>
      <w:r>
        <w:fldChar w:fldCharType="end"/>
      </w:r>
      <w:bookmarkEnd w:id="9"/>
    </w:p>
    <w:p w14:paraId="54D4DF4C">
      <w:pPr>
        <w:framePr w:w="9639" w:h="6974" w:hRule="exact" w:wrap="around" w:vAnchor="page" w:hAnchor="page" w:x="1419" w:y="6408" w:anchorLock="1"/>
        <w:ind w:left="-1418"/>
      </w:pPr>
    </w:p>
    <w:p w14:paraId="387C776B">
      <w:pPr>
        <w:pStyle w:val="127"/>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General technical specifications for construction of photovoltaic fish ponds</w:t>
      </w:r>
      <w:r>
        <w:rPr>
          <w:rFonts w:ascii="黑体" w:hAnsi="黑体" w:eastAsia="黑体"/>
          <w:szCs w:val="28"/>
        </w:rPr>
        <w:fldChar w:fldCharType="end"/>
      </w:r>
      <w:bookmarkEnd w:id="10"/>
    </w:p>
    <w:p w14:paraId="3E0A5142">
      <w:pPr>
        <w:framePr w:w="9639" w:h="6974" w:hRule="exact" w:wrap="around" w:vAnchor="page" w:hAnchor="page" w:x="1419" w:y="6408" w:anchorLock="1"/>
        <w:spacing w:line="760" w:lineRule="exact"/>
        <w:ind w:left="-1418"/>
      </w:pPr>
    </w:p>
    <w:p w14:paraId="47BE9498">
      <w:pPr>
        <w:pStyle w:val="127"/>
        <w:framePr w:w="9639" w:h="6974" w:hRule="exact" w:wrap="around" w:vAnchor="page" w:hAnchor="page" w:x="1419" w:y="6408" w:anchorLock="1"/>
        <w:textAlignment w:val="bottom"/>
        <w:rPr>
          <w:rFonts w:eastAsia="黑体"/>
          <w:szCs w:val="28"/>
        </w:rPr>
      </w:pPr>
    </w:p>
    <w:p w14:paraId="245CBA28">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2D55ED7">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BE89718">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25849DE">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67E9494">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25A7B1C">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278E2294">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50A939D">
      <w:pPr>
        <w:adjustRightInd/>
        <w:spacing w:before="640" w:after="560" w:line="460" w:lineRule="exact"/>
        <w:jc w:val="center"/>
        <w:outlineLvl w:val="0"/>
        <w:rPr>
          <w:rFonts w:ascii="Times New Roman" w:hAnsi="Times New Roman" w:eastAsia="黑体"/>
          <w:sz w:val="32"/>
          <w:szCs w:val="32"/>
        </w:rPr>
      </w:pPr>
      <w:bookmarkStart w:id="21" w:name="_Toc159253171"/>
      <w:bookmarkStart w:id="22" w:name="_Toc179961737"/>
      <w:bookmarkStart w:id="23" w:name="_Toc4007"/>
      <w:bookmarkStart w:id="24" w:name="BookMark2"/>
      <w:r>
        <w:rPr>
          <w:rFonts w:hint="eastAsia" w:ascii="Times New Roman" w:hAnsi="Times New Roman" w:eastAsia="黑体"/>
          <w:sz w:val="32"/>
          <w:szCs w:val="32"/>
        </w:rPr>
        <w:t>目</w:t>
      </w:r>
      <w:r>
        <w:rPr>
          <w:rFonts w:ascii="Times New Roman" w:hAnsi="Times New Roman" w:eastAsia="黑体"/>
          <w:sz w:val="32"/>
          <w:szCs w:val="32"/>
        </w:rPr>
        <w:t xml:space="preserve">    </w:t>
      </w:r>
      <w:bookmarkEnd w:id="21"/>
      <w:r>
        <w:rPr>
          <w:rFonts w:hint="eastAsia" w:ascii="Times New Roman" w:hAnsi="Times New Roman" w:eastAsia="黑体"/>
          <w:sz w:val="32"/>
          <w:szCs w:val="32"/>
        </w:rPr>
        <w:t>次</w:t>
      </w:r>
      <w:bookmarkEnd w:id="22"/>
      <w:bookmarkEnd w:id="23"/>
    </w:p>
    <w:p w14:paraId="20DE0D8C">
      <w:pPr>
        <w:tabs>
          <w:tab w:val="right" w:leader="dot" w:pos="9354"/>
        </w:tabs>
        <w:adjustRightInd/>
        <w:spacing w:before="78" w:beforeLines="25" w:after="78" w:afterLines="25" w:line="240" w:lineRule="auto"/>
        <w:jc w:val="left"/>
        <w:rPr>
          <w:rFonts w:hint="eastAsia" w:ascii="宋体" w:hAnsi="宋体" w:cs="宋体"/>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"_Toc9743" </w:instrText>
      </w:r>
      <w:r>
        <w:fldChar w:fldCharType="separate"/>
      </w:r>
      <w:r>
        <w:rPr>
          <w:rFonts w:hint="eastAsia" w:ascii="宋体" w:hAnsi="宋体" w:cs="宋体"/>
          <w:szCs w:val="32"/>
        </w:rPr>
        <w:t>前言</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_Toc9743 \h </w:instrText>
      </w:r>
      <w:r>
        <w:rPr>
          <w:rFonts w:hint="eastAsia" w:ascii="宋体" w:hAnsi="宋体" w:cs="宋体"/>
        </w:rPr>
        <w:fldChar w:fldCharType="separate"/>
      </w:r>
      <w:r>
        <w:rPr>
          <w:rFonts w:hint="eastAsia" w:ascii="宋体" w:hAnsi="宋体" w:cs="宋体"/>
        </w:rPr>
        <w:t>II</w:t>
      </w:r>
      <w:r>
        <w:rPr>
          <w:rFonts w:hint="eastAsia" w:ascii="宋体" w:hAnsi="宋体" w:cs="宋体"/>
        </w:rPr>
        <w:fldChar w:fldCharType="end"/>
      </w:r>
      <w:r>
        <w:rPr>
          <w:rFonts w:hint="eastAsia" w:ascii="宋体" w:hAnsi="宋体" w:cs="宋体"/>
        </w:rPr>
        <w:fldChar w:fldCharType="end"/>
      </w:r>
    </w:p>
    <w:p w14:paraId="3FC6D2C3">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"_Toc5050" </w:instrText>
      </w:r>
      <w:r>
        <w:fldChar w:fldCharType="separate"/>
      </w:r>
      <w:r>
        <w:rPr>
          <w:rFonts w:hint="eastAsia" w:ascii="宋体" w:hAnsi="宋体" w:cs="宋体"/>
        </w:rPr>
        <w:t>1  范围</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_Toc5050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14:paraId="1D83F5D9">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"_Toc19076" </w:instrText>
      </w:r>
      <w:r>
        <w:fldChar w:fldCharType="separate"/>
      </w:r>
      <w:r>
        <w:rPr>
          <w:rFonts w:hint="eastAsia" w:ascii="宋体" w:hAnsi="宋体" w:cs="宋体"/>
        </w:rPr>
        <w:t>2  规范性引用文件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_Toc19076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14:paraId="17ED96B6">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"_Toc12150" </w:instrText>
      </w:r>
      <w:r>
        <w:fldChar w:fldCharType="separate"/>
      </w:r>
      <w:r>
        <w:rPr>
          <w:rFonts w:hint="eastAsia" w:ascii="宋体" w:hAnsi="宋体" w:cs="宋体"/>
        </w:rPr>
        <w:t>3  术语和定义</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_Toc12150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14:paraId="1F36485C">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"_Toc2718" </w:instrText>
      </w:r>
      <w:r>
        <w:fldChar w:fldCharType="separate"/>
      </w:r>
      <w:r>
        <w:rPr>
          <w:rFonts w:hint="eastAsia" w:ascii="宋体" w:hAnsi="宋体" w:cs="宋体"/>
        </w:rPr>
        <w:t>4  总体要求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_Toc2718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14:paraId="47C4837D">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"_Toc10589" </w:instrText>
      </w:r>
      <w:r>
        <w:fldChar w:fldCharType="separate"/>
      </w:r>
      <w:r>
        <w:rPr>
          <w:rFonts w:hint="eastAsia" w:ascii="宋体" w:hAnsi="宋体" w:cs="宋体"/>
        </w:rPr>
        <w:t>5  场址选择</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_Toc10589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14:paraId="2DF875E2">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"_Toc4589" </w:instrText>
      </w:r>
      <w:r>
        <w:fldChar w:fldCharType="separate"/>
      </w:r>
      <w:r>
        <w:rPr>
          <w:rFonts w:hint="eastAsia" w:ascii="宋体" w:hAnsi="宋体" w:cs="宋体"/>
        </w:rPr>
        <w:t>6  规划与布局</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_Toc4589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14:paraId="32DD4A03">
      <w:pPr>
        <w:tabs>
          <w:tab w:val="right" w:leader="dot" w:pos="9354"/>
        </w:tabs>
        <w:adjustRightInd/>
        <w:spacing w:before="78" w:beforeLines="25" w:after="78" w:afterLines="25" w:line="240" w:lineRule="auto"/>
        <w:jc w:val="left"/>
        <w:rPr>
          <w:rFonts w:hint="eastAsia" w:ascii="宋体" w:hAnsi="宋体" w:cs="宋体"/>
        </w:rPr>
      </w:pPr>
      <w:r>
        <w:fldChar w:fldCharType="begin"/>
      </w:r>
      <w:r>
        <w:instrText xml:space="preserve"> HYPERLINK \l "_Toc18823" </w:instrText>
      </w:r>
      <w:r>
        <w:fldChar w:fldCharType="separate"/>
      </w:r>
      <w:r>
        <w:rPr>
          <w:rFonts w:hint="eastAsia" w:ascii="宋体" w:hAnsi="宋体" w:cs="宋体"/>
        </w:rPr>
        <w:t>7  建设施工</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_Toc18823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14:paraId="0940A1A6">
      <w:pPr>
        <w:tabs>
          <w:tab w:val="right" w:leader="dot" w:pos="9354"/>
        </w:tabs>
        <w:adjustRightInd/>
        <w:spacing w:before="78" w:beforeLines="25" w:after="78" w:afterLines="25" w:line="240" w:lineRule="auto"/>
        <w:ind w:firstLine="210" w:firstLineChars="100"/>
        <w:jc w:val="left"/>
        <w:rPr>
          <w:rFonts w:hint="eastAsia" w:ascii="宋体" w:hAnsi="宋体" w:cs="宋体"/>
        </w:rPr>
      </w:pPr>
      <w:r>
        <w:fldChar w:fldCharType="begin"/>
      </w:r>
      <w:r>
        <w:instrText xml:space="preserve"> HYPERLINK \l "_Toc20423" </w:instrText>
      </w:r>
      <w:r>
        <w:fldChar w:fldCharType="separate"/>
      </w:r>
      <w:r>
        <w:rPr>
          <w:rFonts w:hint="eastAsia" w:ascii="宋体" w:hAnsi="宋体" w:cs="宋体"/>
        </w:rPr>
        <w:t>7.1  养殖设施与装备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_Toc20423 \h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r>
        <w:rPr>
          <w:rFonts w:hint="eastAsia" w:ascii="宋体" w:hAnsi="宋体" w:cs="宋体"/>
        </w:rPr>
        <w:fldChar w:fldCharType="end"/>
      </w:r>
    </w:p>
    <w:p w14:paraId="7AFDBF4A">
      <w:pPr>
        <w:tabs>
          <w:tab w:val="right" w:leader="dot" w:pos="9354"/>
        </w:tabs>
        <w:adjustRightInd/>
        <w:spacing w:before="78" w:beforeLines="25" w:after="78" w:afterLines="25" w:line="240" w:lineRule="auto"/>
        <w:ind w:firstLine="210" w:firstLineChars="100"/>
        <w:jc w:val="left"/>
        <w:rPr>
          <w:rFonts w:hint="eastAsia" w:ascii="宋体" w:hAnsi="宋体" w:cs="宋体"/>
        </w:rPr>
      </w:pPr>
      <w:r>
        <w:fldChar w:fldCharType="begin"/>
      </w:r>
      <w:r>
        <w:instrText xml:space="preserve"> HYPERLINK \l "_Toc29455" </w:instrText>
      </w:r>
      <w:r>
        <w:fldChar w:fldCharType="separate"/>
      </w:r>
      <w:r>
        <w:rPr>
          <w:rFonts w:hint="eastAsia" w:ascii="宋体" w:hAnsi="宋体" w:cs="宋体"/>
        </w:rPr>
        <w:t>7.2  光伏发电设施</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_Toc29455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14:paraId="475F98FD">
      <w:pPr>
        <w:tabs>
          <w:tab w:val="right" w:leader="dot" w:pos="9354"/>
        </w:tabs>
        <w:adjustRightInd/>
        <w:spacing w:before="78" w:beforeLines="25" w:after="78" w:afterLines="25" w:line="240" w:lineRule="auto"/>
        <w:ind w:firstLine="210" w:firstLineChars="100"/>
        <w:jc w:val="left"/>
        <w:rPr>
          <w:rFonts w:hint="eastAsia" w:ascii="宋体" w:hAnsi="宋体" w:cs="宋体"/>
        </w:rPr>
      </w:pPr>
      <w:r>
        <w:fldChar w:fldCharType="begin"/>
      </w:r>
      <w:r>
        <w:instrText xml:space="preserve"> HYPERLINK \l "_Toc28561" </w:instrText>
      </w:r>
      <w:r>
        <w:fldChar w:fldCharType="separate"/>
      </w:r>
      <w:r>
        <w:rPr>
          <w:rFonts w:hint="eastAsia" w:ascii="宋体" w:hAnsi="宋体" w:cs="宋体"/>
        </w:rPr>
        <w:t>7.3  养殖尾水净化设施</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_Toc28561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14:paraId="23B1F54A">
      <w:pPr>
        <w:tabs>
          <w:tab w:val="right" w:leader="dot" w:pos="9354"/>
        </w:tabs>
        <w:adjustRightInd/>
        <w:spacing w:before="78" w:beforeLines="25" w:after="78" w:afterLines="25" w:line="240" w:lineRule="auto"/>
        <w:ind w:firstLine="210" w:firstLineChars="100"/>
        <w:jc w:val="left"/>
        <w:rPr>
          <w:rFonts w:hint="eastAsia" w:ascii="宋体" w:hAnsi="宋体" w:cs="宋体"/>
        </w:rPr>
      </w:pPr>
      <w:r>
        <w:fldChar w:fldCharType="begin"/>
      </w:r>
      <w:r>
        <w:instrText xml:space="preserve"> HYPERLINK \l "_Toc28078" </w:instrText>
      </w:r>
      <w:r>
        <w:fldChar w:fldCharType="separate"/>
      </w:r>
      <w:r>
        <w:rPr>
          <w:rFonts w:hint="eastAsia" w:ascii="宋体" w:hAnsi="宋体" w:cs="宋体"/>
        </w:rPr>
        <w:t>7.4  配套设施</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_Toc28078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14:paraId="698C3443">
      <w:pPr>
        <w:tabs>
          <w:tab w:val="right" w:leader="dot" w:pos="9354"/>
        </w:tabs>
        <w:adjustRightInd/>
        <w:spacing w:before="78" w:beforeLines="25" w:after="78" w:afterLines="25" w:line="240" w:lineRule="auto"/>
        <w:ind w:firstLine="210" w:firstLineChars="100"/>
        <w:jc w:val="left"/>
        <w:rPr>
          <w:rFonts w:hint="eastAsia" w:ascii="宋体" w:hAnsi="宋体" w:cs="宋体"/>
        </w:rPr>
      </w:pPr>
      <w:r>
        <w:fldChar w:fldCharType="begin"/>
      </w:r>
      <w:r>
        <w:instrText xml:space="preserve"> HYPERLINK \l "_Toc25695" </w:instrText>
      </w:r>
      <w:r>
        <w:fldChar w:fldCharType="separate"/>
      </w:r>
      <w:r>
        <w:rPr>
          <w:rFonts w:hint="eastAsia" w:ascii="宋体" w:hAnsi="宋体" w:cs="宋体"/>
        </w:rPr>
        <w:t>7.5  进场施工</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_Toc25695 \h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rPr>
          <w:rFonts w:hint="eastAsia" w:ascii="宋体" w:hAnsi="宋体" w:cs="宋体"/>
        </w:rPr>
        <w:fldChar w:fldCharType="end"/>
      </w:r>
    </w:p>
    <w:p w14:paraId="696A13C3">
      <w:pPr>
        <w:tabs>
          <w:tab w:val="right" w:leader="dot" w:pos="9354"/>
        </w:tabs>
        <w:adjustRightInd/>
        <w:spacing w:before="78" w:beforeLines="25" w:after="78" w:afterLines="25" w:line="240" w:lineRule="auto"/>
        <w:jc w:val="left"/>
        <w:rPr>
          <w:rFonts w:ascii="宋体" w:hAnsi="Times New Roman"/>
        </w:rPr>
      </w:pPr>
      <w:r>
        <w:fldChar w:fldCharType="begin"/>
      </w:r>
      <w:r>
        <w:instrText xml:space="preserve"> HYPERLINK \l "_Toc2399" </w:instrText>
      </w:r>
      <w:r>
        <w:fldChar w:fldCharType="separate"/>
      </w:r>
      <w:r>
        <w:rPr>
          <w:rFonts w:hint="eastAsia" w:ascii="宋体" w:hAnsi="宋体" w:cs="宋体"/>
        </w:rPr>
        <w:t>8  验收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_Toc2399 \h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14:paraId="19766601">
      <w:pPr>
        <w:tabs>
          <w:tab w:val="left" w:pos="788"/>
        </w:tabs>
        <w:adjustRightInd/>
        <w:spacing w:line="240" w:lineRule="auto"/>
        <w:rPr>
          <w:rFonts w:ascii="Times New Roman" w:hAnsi="Times New Roman"/>
          <w:szCs w:val="24"/>
        </w:rPr>
      </w:pPr>
      <w:r>
        <w:rPr>
          <w:rFonts w:ascii="Times New Roman" w:hAnsi="Times New Roman"/>
        </w:rPr>
        <w:fldChar w:fldCharType="end"/>
      </w:r>
      <w:bookmarkStart w:id="25" w:name="_Toc23446"/>
      <w:bookmarkStart w:id="26" w:name="_Toc152402678"/>
    </w:p>
    <w:p w14:paraId="01EB8B5D">
      <w:pPr>
        <w:adjustRightInd/>
        <w:spacing w:before="640" w:after="560" w:line="460" w:lineRule="exact"/>
        <w:jc w:val="center"/>
        <w:outlineLvl w:val="0"/>
        <w:rPr>
          <w:rFonts w:ascii="Times New Roman" w:hAnsi="Times New Roman" w:eastAsia="黑体"/>
          <w:sz w:val="32"/>
          <w:szCs w:val="32"/>
        </w:rPr>
      </w:pPr>
      <w:r>
        <w:rPr>
          <w:rFonts w:ascii="Times New Roman" w:hAnsi="Times New Roman" w:eastAsia="黑体"/>
          <w:sz w:val="32"/>
          <w:szCs w:val="32"/>
        </w:rPr>
        <w:br w:type="page"/>
      </w:r>
      <w:bookmarkStart w:id="27" w:name="_Toc9743"/>
      <w:r>
        <w:rPr>
          <w:rFonts w:ascii="Times New Roman" w:hAnsi="Times New Roman" w:eastAsia="黑体"/>
          <w:sz w:val="32"/>
          <w:szCs w:val="32"/>
        </w:rPr>
        <w:t>前    言</w:t>
      </w:r>
      <w:bookmarkEnd w:id="25"/>
      <w:bookmarkEnd w:id="26"/>
      <w:bookmarkEnd w:id="27"/>
    </w:p>
    <w:p w14:paraId="26DFC1F9">
      <w:pPr>
        <w:autoSpaceDE w:val="0"/>
        <w:autoSpaceDN w:val="0"/>
        <w:spacing w:line="240" w:lineRule="auto"/>
        <w:ind w:firstLine="424" w:firstLineChars="202"/>
        <w:jc w:val="left"/>
        <w:rPr>
          <w:rFonts w:ascii="Times New Roman" w:hAnsi="Times New Roman"/>
        </w:rPr>
      </w:pPr>
      <w:r>
        <w:rPr>
          <w:rFonts w:ascii="Times New Roman" w:hAnsi="Times New Roman"/>
        </w:rPr>
        <w:t>本文件按照GB/T  1.1—2020《标准化工作导则   第1部分：标准化文件的结构和起草规则》的规定起草。</w:t>
      </w:r>
    </w:p>
    <w:p w14:paraId="2D06B6C8">
      <w:pPr>
        <w:autoSpaceDE w:val="0"/>
        <w:autoSpaceDN w:val="0"/>
        <w:spacing w:line="240" w:lineRule="auto"/>
        <w:ind w:firstLine="424" w:firstLineChars="202"/>
        <w:jc w:val="left"/>
        <w:rPr>
          <w:rFonts w:ascii="Times New Roman" w:hAnsi="Times New Roman"/>
        </w:rPr>
      </w:pPr>
      <w:r>
        <w:rPr>
          <w:rFonts w:ascii="Times New Roman" w:hAnsi="Times New Roman"/>
        </w:rPr>
        <w:t>请注意本文件的某些内容可能涉及专利。本文件的发布机构不承担识别专利的责任。</w:t>
      </w:r>
    </w:p>
    <w:p w14:paraId="68E12B81">
      <w:pPr>
        <w:autoSpaceDE w:val="0"/>
        <w:autoSpaceDN w:val="0"/>
        <w:spacing w:line="240" w:lineRule="auto"/>
        <w:ind w:firstLine="424" w:firstLineChars="202"/>
        <w:jc w:val="left"/>
        <w:rPr>
          <w:rFonts w:ascii="Times New Roman" w:hAnsi="Times New Roman"/>
        </w:rPr>
      </w:pPr>
      <w:r>
        <w:rPr>
          <w:rFonts w:ascii="Times New Roman" w:hAnsi="Times New Roman"/>
        </w:rPr>
        <w:t>本文件由江苏省农业农村厅提出。</w:t>
      </w:r>
    </w:p>
    <w:p w14:paraId="7B48EC0D">
      <w:pPr>
        <w:autoSpaceDE w:val="0"/>
        <w:autoSpaceDN w:val="0"/>
        <w:spacing w:line="240" w:lineRule="auto"/>
        <w:ind w:firstLine="424" w:firstLineChars="202"/>
        <w:jc w:val="left"/>
        <w:rPr>
          <w:rFonts w:ascii="Times New Roman" w:hAnsi="Times New Roman"/>
        </w:rPr>
      </w:pPr>
      <w:r>
        <w:rPr>
          <w:rFonts w:ascii="Times New Roman" w:hAnsi="Times New Roman"/>
        </w:rPr>
        <w:t>本文件由江苏省渔业标准化技术委员会归口。</w:t>
      </w:r>
    </w:p>
    <w:p w14:paraId="05C7498E">
      <w:pPr>
        <w:autoSpaceDE w:val="0"/>
        <w:autoSpaceDN w:val="0"/>
        <w:spacing w:line="240" w:lineRule="auto"/>
        <w:ind w:firstLine="424" w:firstLineChars="202"/>
        <w:jc w:val="left"/>
        <w:rPr>
          <w:rFonts w:ascii="Times New Roman" w:hAnsi="Times New Roman"/>
        </w:rPr>
      </w:pPr>
      <w:r>
        <w:rPr>
          <w:rFonts w:ascii="Times New Roman" w:hAnsi="Times New Roman"/>
        </w:rPr>
        <w:t>本文件起草单位：</w:t>
      </w:r>
      <w:r>
        <w:rPr>
          <w:rFonts w:hint="eastAsia" w:hAnsi="宋体"/>
          <w:szCs w:val="21"/>
        </w:rPr>
        <w:t>江苏省农业科学院、无锡萨科特新能源科技有限公司</w:t>
      </w:r>
      <w:r>
        <w:rPr>
          <w:rFonts w:hint="eastAsia" w:hAnsi="宋体"/>
          <w:szCs w:val="21"/>
          <w:lang w:eastAsia="zh-CN"/>
        </w:rPr>
        <w:t>、</w:t>
      </w:r>
      <w:r>
        <w:rPr>
          <w:rFonts w:hint="eastAsia" w:ascii="宋体" w:hAnsi="宋体"/>
          <w:szCs w:val="21"/>
        </w:rPr>
        <w:t>江苏省淡水水产研究所</w:t>
      </w:r>
      <w:r>
        <w:rPr>
          <w:rFonts w:hint="eastAsia" w:ascii="宋体" w:hAnsi="宋体"/>
          <w:szCs w:val="21"/>
          <w:lang w:eastAsia="zh-CN"/>
        </w:rPr>
        <w:t>、</w:t>
      </w:r>
      <w:r>
        <w:rPr>
          <w:rFonts w:hint="eastAsia" w:ascii="宋体" w:hAnsi="宋体"/>
          <w:szCs w:val="21"/>
        </w:rPr>
        <w:t>江苏省</w:t>
      </w:r>
      <w:r>
        <w:rPr>
          <w:rFonts w:hint="eastAsia" w:ascii="宋体" w:hAnsi="宋体"/>
          <w:szCs w:val="21"/>
          <w:lang w:val="en-US" w:eastAsia="zh-CN"/>
        </w:rPr>
        <w:t>海洋</w:t>
      </w:r>
      <w:r>
        <w:rPr>
          <w:rFonts w:hint="eastAsia" w:ascii="宋体" w:hAnsi="宋体"/>
          <w:szCs w:val="21"/>
        </w:rPr>
        <w:t>水产研究所</w:t>
      </w:r>
      <w:r>
        <w:rPr>
          <w:rFonts w:hint="eastAsia" w:ascii="宋体" w:hAnsi="宋体"/>
          <w:szCs w:val="21"/>
          <w:lang w:eastAsia="zh-CN"/>
        </w:rPr>
        <w:t>、中国水产科学研究院淡水渔业研究中心、</w:t>
      </w:r>
      <w:r>
        <w:rPr>
          <w:rFonts w:hint="eastAsia" w:hAnsi="宋体"/>
          <w:szCs w:val="21"/>
        </w:rPr>
        <w:t>长江三峡集团江苏能源投资有限公司、深能南京能源控股有限公司、</w:t>
      </w:r>
      <w:r>
        <w:rPr>
          <w:rFonts w:hint="eastAsia" w:ascii="宋体" w:hAnsi="宋体"/>
          <w:szCs w:val="21"/>
        </w:rPr>
        <w:t>江苏龙腾工程设计股份有限公司</w:t>
      </w:r>
      <w:r>
        <w:rPr>
          <w:rFonts w:hint="eastAsia" w:ascii="宋体" w:hAnsi="宋体"/>
          <w:szCs w:val="21"/>
          <w:lang w:eastAsia="zh-CN"/>
        </w:rPr>
        <w:t>、南京万瑞环境科技有限公司、</w:t>
      </w:r>
      <w:r>
        <w:rPr>
          <w:rFonts w:hint="eastAsia" w:hAnsi="宋体"/>
          <w:szCs w:val="21"/>
        </w:rPr>
        <w:t>江苏新能新誉能源有限公司、江苏新誉农业科技有限公司</w:t>
      </w:r>
      <w:r>
        <w:rPr>
          <w:rFonts w:hint="eastAsia" w:hAnsi="宋体"/>
          <w:szCs w:val="21"/>
          <w:lang w:eastAsia="zh-CN"/>
        </w:rPr>
        <w:t>、</w:t>
      </w:r>
      <w:r>
        <w:rPr>
          <w:rFonts w:hint="eastAsia" w:hAnsi="宋体"/>
          <w:szCs w:val="21"/>
        </w:rPr>
        <w:t>中电建江苏勘测设计研究院有限公司</w:t>
      </w:r>
      <w:r>
        <w:rPr>
          <w:rFonts w:hint="eastAsia" w:hAnsi="宋体"/>
          <w:szCs w:val="21"/>
          <w:lang w:eastAsia="zh-CN"/>
        </w:rPr>
        <w:t>、</w:t>
      </w:r>
      <w:r>
        <w:rPr>
          <w:rFonts w:hint="eastAsia" w:hAnsi="宋体"/>
          <w:szCs w:val="21"/>
        </w:rPr>
        <w:t>中国电力工程顾问集团有限公司、江苏东禾现代农业科技有限公司、</w:t>
      </w:r>
      <w:r>
        <w:rPr>
          <w:rFonts w:hint="eastAsia" w:hAnsi="宋体"/>
          <w:szCs w:val="21"/>
          <w:lang w:val="en-US" w:eastAsia="zh-CN"/>
        </w:rPr>
        <w:t>浙江大学、南京农业大学、江苏海洋大学、四川渔光物联技术有限公司、江苏省农业绿色发展研究会、</w:t>
      </w:r>
      <w:r>
        <w:rPr>
          <w:rFonts w:hint="eastAsia" w:hAnsi="宋体"/>
          <w:szCs w:val="21"/>
        </w:rPr>
        <w:t>江苏省能源研究会、江苏省设施农业装备行业协会</w:t>
      </w:r>
      <w:r>
        <w:rPr>
          <w:rFonts w:ascii="Times New Roman" w:hAnsi="Times New Roman"/>
        </w:rPr>
        <w:t>。</w:t>
      </w:r>
    </w:p>
    <w:p w14:paraId="0D1ECB55">
      <w:pPr>
        <w:autoSpaceDE w:val="0"/>
        <w:autoSpaceDN w:val="0"/>
        <w:spacing w:line="240" w:lineRule="auto"/>
        <w:ind w:firstLine="424" w:firstLineChars="202"/>
        <w:jc w:val="left"/>
        <w:rPr>
          <w:rFonts w:ascii="Times New Roman" w:hAnsi="Times New Roman"/>
        </w:rPr>
        <w:sectPr>
          <w:footerReference r:id="rId10" w:type="default"/>
          <w:footerReference r:id="rId11" w:type="even"/>
          <w:pgSz w:w="11906" w:h="16838"/>
          <w:pgMar w:top="567" w:right="1134" w:bottom="1134" w:left="1418" w:header="1418" w:footer="1134" w:gutter="0"/>
          <w:pgNumType w:fmt="upperRoman" w:start="1"/>
          <w:cols w:space="720" w:num="1"/>
          <w:docGrid w:type="lines" w:linePitch="312" w:charSpace="0"/>
        </w:sectPr>
      </w:pPr>
      <w:r>
        <w:rPr>
          <w:rFonts w:ascii="Times New Roman" w:hAnsi="Times New Roman"/>
        </w:rPr>
        <w:t>本文件主要起草人：。</w:t>
      </w:r>
    </w:p>
    <w:bookmarkEnd w:id="24"/>
    <w:p w14:paraId="44B55D05">
      <w:pPr>
        <w:spacing w:line="20" w:lineRule="exact"/>
        <w:jc w:val="center"/>
        <w:rPr>
          <w:rFonts w:hint="eastAsia" w:ascii="黑体" w:hAnsi="黑体" w:eastAsia="黑体"/>
          <w:sz w:val="32"/>
          <w:szCs w:val="32"/>
        </w:rPr>
      </w:pPr>
      <w:bookmarkStart w:id="28" w:name="BookMark4"/>
    </w:p>
    <w:p w14:paraId="04E4D50A">
      <w:pPr>
        <w:spacing w:line="20" w:lineRule="exact"/>
        <w:jc w:val="center"/>
        <w:rPr>
          <w:rFonts w:hint="eastAsia" w:ascii="黑体" w:hAnsi="黑体" w:eastAsia="黑体"/>
          <w:sz w:val="32"/>
          <w:szCs w:val="32"/>
        </w:rPr>
      </w:pPr>
    </w:p>
    <w:sdt>
      <w:sdtPr>
        <w:tag w:val="NEW_STAND_NAME"/>
        <w:id w:val="595910757"/>
        <w:lock w:val="sdtLocked"/>
        <w:placeholder>
          <w:docPart w:val="440338EE363446FAB43A5FE98642D91C"/>
        </w:placeholder>
      </w:sdtPr>
      <w:sdtContent>
        <w:p w14:paraId="369950A1">
          <w:pPr>
            <w:pStyle w:val="179"/>
            <w:spacing w:before="312" w:beforeLines="100" w:after="686" w:afterLines="220"/>
            <w:rPr>
              <w:rFonts w:hint="eastAsia"/>
            </w:rPr>
          </w:pPr>
          <w:bookmarkStart w:id="29" w:name="NEW_STAND_NAME"/>
          <w:r>
            <w:rPr>
              <w:rFonts w:hint="eastAsia"/>
            </w:rPr>
            <w:t>光伏渔业池塘建设通用技术规范</w:t>
          </w:r>
        </w:p>
      </w:sdtContent>
    </w:sdt>
    <w:bookmarkEnd w:id="28"/>
    <w:bookmarkEnd w:id="29"/>
    <w:p w14:paraId="300D5305">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30" w:name="_Toc1889"/>
      <w:bookmarkStart w:id="31" w:name="_Toc5050"/>
      <w:bookmarkStart w:id="32" w:name="_Toc16861"/>
      <w:bookmarkStart w:id="33" w:name="_Toc23269"/>
      <w:bookmarkStart w:id="34" w:name="_Toc53056538"/>
      <w:bookmarkStart w:id="35" w:name="_Toc58855460"/>
      <w:r>
        <w:rPr>
          <w:rFonts w:ascii="Times New Roman" w:hAnsi="Times New Roman" w:eastAsia="黑体"/>
          <w:kern w:val="0"/>
        </w:rPr>
        <w:t>范围</w:t>
      </w:r>
      <w:bookmarkEnd w:id="30"/>
      <w:bookmarkEnd w:id="31"/>
      <w:bookmarkEnd w:id="32"/>
      <w:bookmarkEnd w:id="33"/>
      <w:bookmarkEnd w:id="34"/>
      <w:bookmarkEnd w:id="35"/>
    </w:p>
    <w:p w14:paraId="22D9C90B">
      <w:pPr>
        <w:snapToGrid w:val="0"/>
        <w:spacing w:line="240" w:lineRule="auto"/>
        <w:ind w:firstLine="420" w:firstLineChars="200"/>
        <w:rPr>
          <w:rFonts w:ascii="Times New Roman" w:hAnsi="Times New Roman"/>
        </w:rPr>
      </w:pPr>
      <w:bookmarkStart w:id="36" w:name="_Toc21954"/>
      <w:bookmarkStart w:id="37" w:name="_Toc58855463"/>
      <w:bookmarkStart w:id="38" w:name="_Toc17259"/>
      <w:bookmarkStart w:id="39" w:name="_Toc53056541"/>
      <w:bookmarkStart w:id="40" w:name="_Toc14188"/>
      <w:r>
        <w:rPr>
          <w:rFonts w:ascii="Times New Roman" w:hAnsi="Times New Roman"/>
        </w:rPr>
        <w:t>本文件规定了光伏渔业池塘建设的总体要求、场址选择、规划与布局、建设</w:t>
      </w:r>
      <w:r>
        <w:rPr>
          <w:rFonts w:hint="eastAsia" w:ascii="Times New Roman" w:hAnsi="Times New Roman"/>
        </w:rPr>
        <w:t>施工</w:t>
      </w:r>
      <w:r>
        <w:rPr>
          <w:rFonts w:ascii="Times New Roman" w:hAnsi="Times New Roman"/>
        </w:rPr>
        <w:t>以及验收要求。</w:t>
      </w:r>
    </w:p>
    <w:p w14:paraId="3B61B306">
      <w:pPr>
        <w:snapToGrid w:val="0"/>
        <w:spacing w:line="240" w:lineRule="auto"/>
        <w:ind w:firstLine="420" w:firstLineChars="200"/>
        <w:rPr>
          <w:rFonts w:ascii="Times New Roman" w:hAnsi="Times New Roman"/>
        </w:rPr>
      </w:pPr>
      <w:r>
        <w:rPr>
          <w:rFonts w:ascii="Times New Roman" w:hAnsi="Times New Roman"/>
        </w:rPr>
        <w:t>本文件适用于光伏渔业池塘的新建、扩建或改建。</w:t>
      </w:r>
    </w:p>
    <w:p w14:paraId="4E0C82DA">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41" w:name="_Toc19076"/>
      <w:r>
        <w:rPr>
          <w:rFonts w:ascii="Times New Roman" w:hAnsi="Times New Roman" w:eastAsia="黑体"/>
          <w:kern w:val="0"/>
        </w:rPr>
        <w:t>规范性引用文件</w:t>
      </w:r>
      <w:bookmarkEnd w:id="36"/>
      <w:bookmarkEnd w:id="37"/>
      <w:bookmarkEnd w:id="38"/>
      <w:bookmarkEnd w:id="39"/>
      <w:bookmarkEnd w:id="40"/>
      <w:bookmarkEnd w:id="41"/>
    </w:p>
    <w:p w14:paraId="577C767B">
      <w:pPr>
        <w:snapToGrid w:val="0"/>
        <w:spacing w:line="240" w:lineRule="auto"/>
        <w:ind w:firstLine="420" w:firstLineChars="200"/>
        <w:rPr>
          <w:rFonts w:ascii="Times New Roman" w:hAnsi="Times New Roman"/>
        </w:rPr>
      </w:pPr>
      <w:bookmarkStart w:id="42" w:name="_Toc15665"/>
      <w:bookmarkStart w:id="43" w:name="_Toc12170"/>
      <w:bookmarkStart w:id="44" w:name="_Toc58855464"/>
      <w:bookmarkStart w:id="45" w:name="_Toc53056542"/>
      <w:bookmarkStart w:id="46" w:name="_Toc8601"/>
      <w:r>
        <w:rPr>
          <w:rFonts w:hint="eastAsia" w:ascii="Times New Roman" w:hAnsi="Times New Roman"/>
        </w:rPr>
        <w:t>下列文件中的内容通过文中的规范性引用而构成本文件必不可少的条款。其中，注日期的引用文件，仅注日期对应的版本适用于本文件；不注日期的引用文件，其最新版本（包括所有的修改单）适用于本文件。</w:t>
      </w:r>
    </w:p>
    <w:p w14:paraId="6E12667D">
      <w:pPr>
        <w:snapToGrid w:val="0"/>
        <w:spacing w:line="240" w:lineRule="auto"/>
        <w:ind w:firstLine="420" w:firstLineChars="200"/>
        <w:rPr>
          <w:rFonts w:ascii="Times New Roman" w:hAnsi="Times New Roman"/>
        </w:rPr>
      </w:pPr>
      <w:r>
        <w:rPr>
          <w:rFonts w:ascii="Times New Roman" w:hAnsi="Times New Roman"/>
        </w:rPr>
        <w:t>GB 11607  渔业水质标准</w:t>
      </w:r>
    </w:p>
    <w:p w14:paraId="335A59FA">
      <w:pPr>
        <w:snapToGrid w:val="0"/>
        <w:spacing w:line="240" w:lineRule="auto"/>
        <w:ind w:firstLine="420" w:firstLineChars="200"/>
        <w:rPr>
          <w:rFonts w:ascii="Times New Roman" w:hAnsi="Times New Roman"/>
        </w:rPr>
      </w:pPr>
      <w:r>
        <w:rPr>
          <w:rFonts w:ascii="Times New Roman" w:hAnsi="Times New Roman"/>
        </w:rPr>
        <w:t>GB/T 22213  水产养殖术语</w:t>
      </w:r>
    </w:p>
    <w:p w14:paraId="37EC29B8">
      <w:pPr>
        <w:snapToGrid w:val="0"/>
        <w:spacing w:line="240" w:lineRule="auto"/>
        <w:ind w:firstLine="420" w:firstLineChars="200"/>
        <w:rPr>
          <w:rFonts w:ascii="Times New Roman" w:hAnsi="Times New Roman"/>
        </w:rPr>
      </w:pPr>
      <w:r>
        <w:rPr>
          <w:rFonts w:ascii="Times New Roman" w:hAnsi="Times New Roman"/>
        </w:rPr>
        <w:t>GB 50794  光伏发电站施工规范</w:t>
      </w:r>
    </w:p>
    <w:p w14:paraId="59A14668">
      <w:pPr>
        <w:snapToGrid w:val="0"/>
        <w:spacing w:line="240" w:lineRule="auto"/>
        <w:ind w:firstLine="420" w:firstLineChars="200"/>
        <w:rPr>
          <w:rFonts w:ascii="Times New Roman" w:hAnsi="Times New Roman"/>
        </w:rPr>
      </w:pPr>
      <w:r>
        <w:rPr>
          <w:rFonts w:ascii="Times New Roman" w:hAnsi="Times New Roman"/>
        </w:rPr>
        <w:t>GB/T 50796  光伏发电工程验收规范</w:t>
      </w:r>
    </w:p>
    <w:p w14:paraId="622CF85E">
      <w:pPr>
        <w:snapToGrid w:val="0"/>
        <w:spacing w:line="240" w:lineRule="auto"/>
        <w:ind w:firstLine="420" w:firstLineChars="200"/>
        <w:rPr>
          <w:rFonts w:ascii="Times New Roman" w:hAnsi="Times New Roman"/>
        </w:rPr>
      </w:pPr>
      <w:r>
        <w:rPr>
          <w:rFonts w:ascii="Times New Roman" w:hAnsi="Times New Roman"/>
        </w:rPr>
        <w:t>GB 50797  光伏发电站设计规范</w:t>
      </w:r>
    </w:p>
    <w:p w14:paraId="1152CFD0">
      <w:pPr>
        <w:snapToGrid w:val="0"/>
        <w:spacing w:line="240" w:lineRule="auto"/>
        <w:ind w:firstLine="420" w:firstLineChars="200"/>
        <w:rPr>
          <w:rFonts w:ascii="Times New Roman" w:hAnsi="Times New Roman"/>
        </w:rPr>
      </w:pPr>
      <w:r>
        <w:rPr>
          <w:rFonts w:ascii="Times New Roman" w:hAnsi="Times New Roman"/>
        </w:rPr>
        <w:t>SC/T 6048  淡水养殖池塘设施要求</w:t>
      </w:r>
    </w:p>
    <w:p w14:paraId="67C72428">
      <w:pPr>
        <w:snapToGrid w:val="0"/>
        <w:spacing w:line="240" w:lineRule="auto"/>
        <w:ind w:firstLine="420" w:firstLineChars="200"/>
        <w:rPr>
          <w:rFonts w:ascii="Times New Roman" w:hAnsi="Times New Roman"/>
        </w:rPr>
      </w:pPr>
      <w:r>
        <w:rPr>
          <w:rFonts w:ascii="Times New Roman" w:hAnsi="Times New Roman"/>
        </w:rPr>
        <w:t>SC/T 6056  水产养殖设施  名词术语</w:t>
      </w:r>
    </w:p>
    <w:p w14:paraId="390ECAAC">
      <w:pPr>
        <w:snapToGrid w:val="0"/>
        <w:spacing w:line="240" w:lineRule="auto"/>
        <w:ind w:firstLine="420" w:firstLineChars="200"/>
        <w:rPr>
          <w:rFonts w:ascii="Times New Roman" w:hAnsi="Times New Roman"/>
        </w:rPr>
      </w:pPr>
      <w:r>
        <w:rPr>
          <w:rFonts w:ascii="Times New Roman" w:hAnsi="Times New Roman"/>
        </w:rPr>
        <w:t>DB32/ 4043  池塘养殖尾水排放标准</w:t>
      </w:r>
    </w:p>
    <w:p w14:paraId="2AB8F683">
      <w:pPr>
        <w:snapToGrid w:val="0"/>
        <w:spacing w:line="240" w:lineRule="auto"/>
        <w:ind w:firstLine="420" w:firstLineChars="200"/>
        <w:rPr>
          <w:rFonts w:ascii="Times New Roman" w:hAnsi="Times New Roman"/>
        </w:rPr>
      </w:pPr>
      <w:r>
        <w:rPr>
          <w:rFonts w:ascii="Times New Roman" w:hAnsi="Times New Roman"/>
        </w:rPr>
        <w:t>DB32/T 4598  光伏农业园区规划编制要求</w:t>
      </w:r>
    </w:p>
    <w:p w14:paraId="145F72F4">
      <w:pPr>
        <w:snapToGrid w:val="0"/>
        <w:spacing w:line="240" w:lineRule="auto"/>
        <w:ind w:firstLine="420" w:firstLineChars="200"/>
        <w:rPr>
          <w:rFonts w:ascii="Times New Roman" w:hAnsi="Times New Roman"/>
        </w:rPr>
      </w:pPr>
      <w:r>
        <w:rPr>
          <w:rFonts w:ascii="Times New Roman" w:hAnsi="Times New Roman"/>
        </w:rPr>
        <w:t>DB32/T 4725  池塘养殖尾水生态处理技术规范</w:t>
      </w:r>
    </w:p>
    <w:p w14:paraId="4B14CF62">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47" w:name="_Toc12150"/>
      <w:r>
        <w:rPr>
          <w:rFonts w:ascii="Times New Roman" w:hAnsi="Times New Roman" w:eastAsia="黑体"/>
          <w:kern w:val="0"/>
        </w:rPr>
        <w:t>术语和定义</w:t>
      </w:r>
      <w:bookmarkEnd w:id="42"/>
      <w:bookmarkEnd w:id="43"/>
      <w:bookmarkEnd w:id="44"/>
      <w:bookmarkEnd w:id="45"/>
      <w:bookmarkEnd w:id="46"/>
      <w:bookmarkEnd w:id="47"/>
    </w:p>
    <w:p w14:paraId="3EFC1A60">
      <w:pPr>
        <w:snapToGrid w:val="0"/>
        <w:spacing w:line="240" w:lineRule="auto"/>
        <w:ind w:firstLine="420" w:firstLineChars="200"/>
        <w:rPr>
          <w:rFonts w:ascii="Times New Roman" w:hAnsi="Times New Roman"/>
        </w:rPr>
      </w:pPr>
      <w:bookmarkStart w:id="48" w:name="_Toc30160"/>
      <w:bookmarkStart w:id="49" w:name="_Toc14064"/>
      <w:bookmarkStart w:id="50" w:name="_Toc18995"/>
      <w:r>
        <w:rPr>
          <w:rFonts w:ascii="Times New Roman" w:hAnsi="Times New Roman"/>
        </w:rPr>
        <w:t>GB/T 22213、SC/T 6056、DB32/T 4598界定的以及下列术语和定义适用于本文件。</w:t>
      </w:r>
    </w:p>
    <w:p w14:paraId="3E4A5BC2">
      <w:pPr>
        <w:snapToGrid w:val="0"/>
        <w:spacing w:before="156" w:beforeLines="50" w:after="156" w:afterLines="50" w:line="240" w:lineRule="auto"/>
        <w:rPr>
          <w:rFonts w:hint="eastAsia" w:ascii="黑体" w:hAnsi="黑体" w:eastAsia="黑体" w:cs="黑体"/>
          <w:szCs w:val="24"/>
        </w:rPr>
      </w:pPr>
      <w:r>
        <w:rPr>
          <w:rFonts w:hint="eastAsia" w:ascii="黑体" w:hAnsi="黑体" w:eastAsia="黑体" w:cs="黑体"/>
          <w:szCs w:val="24"/>
        </w:rPr>
        <w:t>3.1</w:t>
      </w:r>
      <w:bookmarkEnd w:id="48"/>
      <w:bookmarkEnd w:id="49"/>
      <w:bookmarkEnd w:id="50"/>
    </w:p>
    <w:p w14:paraId="69AEE8D3">
      <w:pPr>
        <w:snapToGrid w:val="0"/>
        <w:spacing w:line="240" w:lineRule="auto"/>
        <w:ind w:firstLine="420" w:firstLineChars="200"/>
        <w:rPr>
          <w:rFonts w:hint="eastAsia" w:ascii="黑体" w:hAnsi="黑体" w:eastAsia="黑体" w:cs="黑体"/>
        </w:rPr>
      </w:pPr>
      <w:r>
        <w:rPr>
          <w:rFonts w:ascii="Times New Roman" w:hAnsi="Times New Roman" w:eastAsia="黑体"/>
        </w:rPr>
        <w:t>光伏渔业</w:t>
      </w:r>
      <w:r>
        <w:rPr>
          <w:rFonts w:hint="eastAsia" w:ascii="黑体" w:hAnsi="黑体" w:eastAsia="黑体" w:cs="黑体"/>
        </w:rPr>
        <w:t xml:space="preserve">  </w:t>
      </w:r>
      <w:r>
        <w:rPr>
          <w:rFonts w:hint="eastAsia" w:ascii="黑体" w:hAnsi="黑体" w:eastAsia="黑体" w:cs="黑体"/>
          <w:szCs w:val="18"/>
        </w:rPr>
        <w:t>photovoltaic(PV) fishery</w:t>
      </w:r>
    </w:p>
    <w:p w14:paraId="619BD2EB">
      <w:pPr>
        <w:snapToGrid w:val="0"/>
        <w:spacing w:line="240" w:lineRule="auto"/>
        <w:ind w:firstLine="420" w:firstLineChars="200"/>
        <w:rPr>
          <w:rFonts w:ascii="Times New Roman" w:hAnsi="Times New Roman"/>
        </w:rPr>
      </w:pPr>
      <w:r>
        <w:rPr>
          <w:rFonts w:ascii="Times New Roman" w:hAnsi="Times New Roman"/>
        </w:rPr>
        <w:t>在渔业生产基础上，合理有效利用光照资源进行光伏发电的业态。</w:t>
      </w:r>
    </w:p>
    <w:p w14:paraId="5492183C">
      <w:pPr>
        <w:snapToGrid w:val="0"/>
        <w:spacing w:line="240" w:lineRule="auto"/>
        <w:ind w:firstLine="420" w:firstLineChars="200"/>
        <w:rPr>
          <w:rFonts w:ascii="Times New Roman" w:hAnsi="Times New Roman"/>
        </w:rPr>
      </w:pPr>
      <w:r>
        <w:rPr>
          <w:rFonts w:ascii="Times New Roman" w:hAnsi="Times New Roman"/>
        </w:rPr>
        <w:t>[来源：DB32/T 4598—2023，3.4]</w:t>
      </w:r>
    </w:p>
    <w:p w14:paraId="55452C51">
      <w:pPr>
        <w:snapToGrid w:val="0"/>
        <w:spacing w:before="156" w:beforeLines="50" w:after="156" w:afterLines="50" w:line="240" w:lineRule="auto"/>
        <w:rPr>
          <w:rFonts w:hint="eastAsia" w:ascii="黑体" w:hAnsi="黑体" w:eastAsia="黑体" w:cs="黑体"/>
          <w:szCs w:val="24"/>
        </w:rPr>
      </w:pPr>
      <w:bookmarkStart w:id="51" w:name="_Toc25071018"/>
      <w:bookmarkEnd w:id="51"/>
      <w:bookmarkStart w:id="52" w:name="_Toc468827265"/>
      <w:bookmarkEnd w:id="52"/>
      <w:bookmarkStart w:id="53" w:name="_Toc20240616"/>
      <w:bookmarkEnd w:id="53"/>
      <w:bookmarkStart w:id="54" w:name="_Toc25069863"/>
      <w:bookmarkEnd w:id="54"/>
      <w:bookmarkStart w:id="55" w:name="_Toc25685771"/>
      <w:bookmarkEnd w:id="55"/>
      <w:bookmarkStart w:id="56" w:name="_Toc472150588"/>
      <w:bookmarkEnd w:id="56"/>
      <w:bookmarkStart w:id="57" w:name="_Toc23572"/>
      <w:bookmarkStart w:id="58" w:name="_Toc55149492"/>
      <w:bookmarkStart w:id="59" w:name="_Toc53056546"/>
      <w:bookmarkStart w:id="60" w:name="_Toc58855467"/>
      <w:bookmarkStart w:id="61" w:name="_Toc57476964"/>
      <w:bookmarkStart w:id="62" w:name="_Toc16087"/>
      <w:bookmarkStart w:id="63" w:name="_Toc15485"/>
      <w:bookmarkStart w:id="64" w:name="_Toc58685922"/>
      <w:bookmarkStart w:id="65" w:name="_Toc57472753"/>
      <w:r>
        <w:rPr>
          <w:rFonts w:hint="eastAsia" w:ascii="黑体" w:hAnsi="黑体" w:eastAsia="黑体" w:cs="黑体"/>
          <w:szCs w:val="24"/>
        </w:rPr>
        <w:t>3.</w:t>
      </w:r>
      <w:bookmarkEnd w:id="57"/>
      <w:bookmarkEnd w:id="58"/>
      <w:bookmarkEnd w:id="59"/>
      <w:bookmarkEnd w:id="60"/>
      <w:bookmarkEnd w:id="61"/>
      <w:bookmarkEnd w:id="62"/>
      <w:bookmarkEnd w:id="63"/>
      <w:bookmarkEnd w:id="64"/>
      <w:bookmarkEnd w:id="65"/>
      <w:r>
        <w:rPr>
          <w:rFonts w:hint="eastAsia" w:ascii="黑体" w:hAnsi="黑体" w:eastAsia="黑体" w:cs="黑体"/>
          <w:szCs w:val="24"/>
        </w:rPr>
        <w:t>2</w:t>
      </w:r>
    </w:p>
    <w:p w14:paraId="42C2ED5D">
      <w:pPr>
        <w:snapToGrid w:val="0"/>
        <w:spacing w:line="240" w:lineRule="auto"/>
        <w:ind w:firstLine="420" w:firstLineChars="200"/>
        <w:rPr>
          <w:rFonts w:hint="eastAsia" w:ascii="黑体" w:hAnsi="黑体" w:eastAsia="黑体" w:cs="黑体"/>
        </w:rPr>
      </w:pPr>
      <w:r>
        <w:rPr>
          <w:rFonts w:hint="eastAsia" w:ascii="黑体" w:hAnsi="黑体" w:eastAsia="黑体" w:cs="黑体"/>
        </w:rPr>
        <w:t>光伏组件  PV module</w:t>
      </w:r>
    </w:p>
    <w:p w14:paraId="299EF0DA">
      <w:pPr>
        <w:snapToGrid w:val="0"/>
        <w:spacing w:line="240" w:lineRule="auto"/>
        <w:ind w:firstLine="420" w:firstLineChars="200"/>
        <w:rPr>
          <w:rFonts w:ascii="Times New Roman" w:hAnsi="Times New Roman"/>
        </w:rPr>
      </w:pPr>
      <w:r>
        <w:rPr>
          <w:rFonts w:ascii="Times New Roman" w:hAnsi="Times New Roman"/>
        </w:rPr>
        <w:t>具有封装及内部联结的、能单独提供直流电输出的、最小不可分割的太阳电池组合装置，又称太阳电池组件。</w:t>
      </w:r>
    </w:p>
    <w:p w14:paraId="50A445F6">
      <w:pPr>
        <w:snapToGrid w:val="0"/>
        <w:spacing w:line="240" w:lineRule="auto"/>
        <w:ind w:firstLine="420" w:firstLineChars="200"/>
        <w:rPr>
          <w:rFonts w:ascii="Times New Roman" w:hAnsi="Times New Roman"/>
        </w:rPr>
      </w:pPr>
      <w:r>
        <w:rPr>
          <w:rFonts w:ascii="Times New Roman" w:hAnsi="Times New Roman"/>
        </w:rPr>
        <w:t>[来源：GB 50797—2012，2.1.1]</w:t>
      </w:r>
    </w:p>
    <w:p w14:paraId="103CCEE7">
      <w:pPr>
        <w:snapToGrid w:val="0"/>
        <w:spacing w:before="156" w:beforeLines="50" w:after="156" w:afterLines="50" w:line="240" w:lineRule="auto"/>
        <w:rPr>
          <w:rFonts w:hint="eastAsia" w:ascii="黑体" w:hAnsi="黑体" w:eastAsia="黑体" w:cs="黑体"/>
          <w:szCs w:val="24"/>
        </w:rPr>
      </w:pPr>
      <w:bookmarkStart w:id="66" w:name="_Toc467704746"/>
      <w:bookmarkEnd w:id="66"/>
      <w:bookmarkStart w:id="67" w:name="_Toc467704760"/>
      <w:bookmarkEnd w:id="67"/>
      <w:bookmarkStart w:id="68" w:name="_Toc467704744"/>
      <w:bookmarkEnd w:id="68"/>
      <w:bookmarkStart w:id="69" w:name="_Toc467704743"/>
      <w:bookmarkEnd w:id="69"/>
      <w:bookmarkStart w:id="70" w:name="_Toc467704837"/>
      <w:bookmarkEnd w:id="70"/>
      <w:bookmarkStart w:id="71" w:name="_Toc468827283"/>
      <w:bookmarkEnd w:id="71"/>
      <w:bookmarkStart w:id="72" w:name="_Toc472150590"/>
      <w:bookmarkEnd w:id="72"/>
      <w:bookmarkStart w:id="73" w:name="_Toc467704834"/>
      <w:bookmarkEnd w:id="73"/>
      <w:bookmarkStart w:id="74" w:name="_Toc468827282"/>
      <w:bookmarkEnd w:id="74"/>
      <w:bookmarkStart w:id="75" w:name="_Toc467704519"/>
      <w:bookmarkEnd w:id="75"/>
      <w:bookmarkStart w:id="76" w:name="_Toc467704501"/>
      <w:bookmarkEnd w:id="76"/>
      <w:bookmarkStart w:id="77" w:name="_Toc467704742"/>
      <w:bookmarkEnd w:id="77"/>
      <w:bookmarkStart w:id="78" w:name="_Toc467704853"/>
      <w:bookmarkEnd w:id="78"/>
      <w:bookmarkStart w:id="79" w:name="_Toc467704757"/>
      <w:bookmarkEnd w:id="79"/>
      <w:bookmarkStart w:id="80" w:name="_Toc468827266"/>
      <w:bookmarkEnd w:id="80"/>
      <w:bookmarkStart w:id="81" w:name="_Toc467704741"/>
      <w:bookmarkEnd w:id="81"/>
      <w:bookmarkStart w:id="82" w:name="_Toc467704518"/>
      <w:bookmarkEnd w:id="82"/>
      <w:bookmarkStart w:id="83" w:name="_Toc467704739"/>
      <w:bookmarkEnd w:id="83"/>
      <w:bookmarkStart w:id="84" w:name="_Toc467704836"/>
      <w:bookmarkEnd w:id="84"/>
      <w:bookmarkStart w:id="85" w:name="_Toc467704852"/>
      <w:bookmarkEnd w:id="85"/>
      <w:bookmarkStart w:id="86" w:name="_Toc467704839"/>
      <w:bookmarkEnd w:id="86"/>
      <w:bookmarkStart w:id="87" w:name="_Toc467704503"/>
      <w:bookmarkEnd w:id="87"/>
      <w:bookmarkStart w:id="88" w:name="_Toc25685773"/>
      <w:bookmarkEnd w:id="88"/>
      <w:bookmarkStart w:id="89" w:name="_Toc467704500"/>
      <w:bookmarkEnd w:id="89"/>
      <w:bookmarkStart w:id="90" w:name="_Toc25071020"/>
      <w:bookmarkEnd w:id="90"/>
      <w:bookmarkStart w:id="91" w:name="_Toc20240618"/>
      <w:bookmarkEnd w:id="91"/>
      <w:bookmarkStart w:id="92" w:name="_Toc467704759"/>
      <w:bookmarkEnd w:id="92"/>
      <w:bookmarkStart w:id="93" w:name="_Toc467704835"/>
      <w:bookmarkEnd w:id="93"/>
      <w:bookmarkStart w:id="94" w:name="_Toc467704505"/>
      <w:bookmarkEnd w:id="94"/>
      <w:bookmarkStart w:id="95" w:name="_Toc467704832"/>
      <w:bookmarkEnd w:id="95"/>
      <w:bookmarkStart w:id="96" w:name="_Toc468827281"/>
      <w:bookmarkEnd w:id="96"/>
      <w:bookmarkStart w:id="97" w:name="_Toc467704502"/>
      <w:bookmarkEnd w:id="97"/>
      <w:bookmarkStart w:id="98" w:name="_Toc467704498"/>
      <w:bookmarkEnd w:id="98"/>
      <w:bookmarkStart w:id="99" w:name="_Toc467704850"/>
      <w:bookmarkEnd w:id="99"/>
      <w:bookmarkStart w:id="100" w:name="_Toc25069865"/>
      <w:bookmarkEnd w:id="100"/>
      <w:bookmarkStart w:id="101" w:name="_Toc467704516"/>
      <w:bookmarkEnd w:id="101"/>
      <w:bookmarkStart w:id="102" w:name="_Toc30076"/>
      <w:bookmarkStart w:id="103" w:name="_Toc58855469"/>
      <w:bookmarkStart w:id="104" w:name="_Toc53056548"/>
      <w:bookmarkStart w:id="105" w:name="_Toc58685924"/>
      <w:bookmarkStart w:id="106" w:name="_Toc3027"/>
      <w:bookmarkStart w:id="107" w:name="_Toc55149494"/>
      <w:bookmarkStart w:id="108" w:name="_Toc57472755"/>
      <w:bookmarkStart w:id="109" w:name="_Toc27700"/>
      <w:bookmarkStart w:id="110" w:name="_Toc57476966"/>
      <w:r>
        <w:rPr>
          <w:rFonts w:hint="eastAsia" w:ascii="黑体" w:hAnsi="黑体" w:eastAsia="黑体" w:cs="黑体"/>
          <w:szCs w:val="24"/>
        </w:rPr>
        <w:t>3.</w:t>
      </w:r>
      <w:bookmarkEnd w:id="102"/>
      <w:bookmarkEnd w:id="103"/>
      <w:bookmarkEnd w:id="104"/>
      <w:bookmarkEnd w:id="105"/>
      <w:bookmarkEnd w:id="106"/>
      <w:bookmarkEnd w:id="107"/>
      <w:bookmarkEnd w:id="108"/>
      <w:bookmarkEnd w:id="109"/>
      <w:bookmarkEnd w:id="110"/>
      <w:r>
        <w:rPr>
          <w:rFonts w:hint="eastAsia" w:ascii="黑体" w:hAnsi="黑体" w:eastAsia="黑体" w:cs="黑体"/>
          <w:szCs w:val="24"/>
        </w:rPr>
        <w:t>3</w:t>
      </w:r>
    </w:p>
    <w:p w14:paraId="052A3078">
      <w:pPr>
        <w:snapToGrid w:val="0"/>
        <w:spacing w:line="240" w:lineRule="auto"/>
        <w:ind w:firstLine="420" w:firstLineChars="200"/>
        <w:rPr>
          <w:rFonts w:hint="eastAsia" w:ascii="黑体" w:hAnsi="黑体" w:eastAsia="黑体" w:cs="黑体"/>
        </w:rPr>
      </w:pPr>
      <w:r>
        <w:rPr>
          <w:rFonts w:hint="eastAsia" w:ascii="黑体" w:hAnsi="黑体" w:eastAsia="黑体" w:cs="黑体"/>
        </w:rPr>
        <w:t>光伏方阵  PV array</w:t>
      </w:r>
    </w:p>
    <w:p w14:paraId="77FECBF9">
      <w:pPr>
        <w:snapToGrid w:val="0"/>
        <w:spacing w:line="240" w:lineRule="auto"/>
        <w:ind w:firstLine="420" w:firstLineChars="200"/>
        <w:rPr>
          <w:rFonts w:ascii="Times New Roman" w:hAnsi="Times New Roman"/>
        </w:rPr>
      </w:pPr>
      <w:r>
        <w:rPr>
          <w:rFonts w:ascii="Times New Roman" w:hAnsi="Times New Roman"/>
        </w:rPr>
        <w:t>将若干个光伏组件在机械和电气上按一定方式组装在一起并且有固定的支撑结构而构成的直流发电单元。又称光伏阵列。</w:t>
      </w:r>
    </w:p>
    <w:p w14:paraId="5F4186AD">
      <w:pPr>
        <w:snapToGrid w:val="0"/>
        <w:spacing w:line="240" w:lineRule="auto"/>
        <w:ind w:firstLine="420" w:firstLineChars="200"/>
        <w:rPr>
          <w:rFonts w:ascii="Times New Roman" w:hAnsi="Times New Roman"/>
        </w:rPr>
      </w:pPr>
      <w:r>
        <w:rPr>
          <w:rFonts w:ascii="Times New Roman" w:hAnsi="Times New Roman"/>
        </w:rPr>
        <w:t>[来源：GB 50797—2012，2.1.4]</w:t>
      </w:r>
      <w:bookmarkStart w:id="111" w:name="_Toc12583"/>
      <w:bookmarkStart w:id="112" w:name="_Toc55149497"/>
      <w:bookmarkStart w:id="113" w:name="_Toc21533"/>
      <w:bookmarkStart w:id="114" w:name="_Toc53056551"/>
      <w:bookmarkStart w:id="115" w:name="_Toc57472758"/>
      <w:bookmarkStart w:id="116" w:name="_Toc57476969"/>
      <w:bookmarkStart w:id="117" w:name="_Toc7184"/>
    </w:p>
    <w:p w14:paraId="2143875A">
      <w:pPr>
        <w:snapToGrid w:val="0"/>
        <w:spacing w:before="156" w:beforeLines="50" w:after="156" w:afterLines="50" w:line="240" w:lineRule="auto"/>
        <w:rPr>
          <w:rFonts w:hint="eastAsia" w:ascii="黑体" w:hAnsi="黑体" w:eastAsia="黑体" w:cs="黑体"/>
          <w:szCs w:val="24"/>
        </w:rPr>
      </w:pPr>
      <w:r>
        <w:rPr>
          <w:rFonts w:hint="eastAsia" w:ascii="黑体" w:hAnsi="黑体" w:eastAsia="黑体" w:cs="黑体"/>
          <w:szCs w:val="24"/>
        </w:rPr>
        <w:t>3.</w:t>
      </w:r>
      <w:bookmarkEnd w:id="111"/>
      <w:bookmarkEnd w:id="112"/>
      <w:bookmarkEnd w:id="113"/>
      <w:bookmarkEnd w:id="114"/>
      <w:bookmarkEnd w:id="115"/>
      <w:bookmarkEnd w:id="116"/>
      <w:bookmarkEnd w:id="117"/>
      <w:r>
        <w:rPr>
          <w:rFonts w:hint="eastAsia" w:ascii="黑体" w:hAnsi="黑体" w:eastAsia="黑体" w:cs="黑体"/>
          <w:szCs w:val="24"/>
        </w:rPr>
        <w:t>4</w:t>
      </w:r>
    </w:p>
    <w:p w14:paraId="2D66434C">
      <w:pPr>
        <w:snapToGrid w:val="0"/>
        <w:spacing w:line="240" w:lineRule="auto"/>
        <w:ind w:firstLine="420" w:firstLineChars="200"/>
        <w:rPr>
          <w:rFonts w:hint="eastAsia" w:ascii="黑体" w:hAnsi="黑体" w:eastAsia="黑体" w:cs="黑体"/>
        </w:rPr>
      </w:pPr>
      <w:r>
        <w:rPr>
          <w:rFonts w:hint="eastAsia" w:ascii="黑体" w:hAnsi="黑体" w:eastAsia="黑体" w:cs="黑体"/>
        </w:rPr>
        <w:t>光伏发电系统  PV power generation system</w:t>
      </w:r>
    </w:p>
    <w:p w14:paraId="5119B242">
      <w:pPr>
        <w:snapToGrid w:val="0"/>
        <w:spacing w:line="240" w:lineRule="auto"/>
        <w:ind w:firstLine="420" w:firstLineChars="200"/>
        <w:rPr>
          <w:rFonts w:ascii="Times New Roman" w:hAnsi="Times New Roman"/>
        </w:rPr>
      </w:pPr>
      <w:r>
        <w:rPr>
          <w:rFonts w:ascii="Times New Roman" w:hAnsi="Times New Roman"/>
        </w:rPr>
        <w:t>利用太阳电池的光生伏特效应，将太阳辐射能直接转换成电能的发电系统。</w:t>
      </w:r>
    </w:p>
    <w:p w14:paraId="4DDD08F4">
      <w:pPr>
        <w:snapToGrid w:val="0"/>
        <w:spacing w:line="240" w:lineRule="auto"/>
        <w:ind w:firstLine="420" w:firstLineChars="200"/>
        <w:rPr>
          <w:rFonts w:ascii="Times New Roman" w:hAnsi="Times New Roman"/>
        </w:rPr>
      </w:pPr>
      <w:r>
        <w:rPr>
          <w:rFonts w:ascii="Times New Roman" w:hAnsi="Times New Roman"/>
        </w:rPr>
        <w:t>[来源：GB 50797—2012，2.1.5]</w:t>
      </w:r>
      <w:r>
        <w:rPr>
          <w:rFonts w:ascii="Times New Roman" w:hAnsi="Times New Roman"/>
        </w:rPr>
        <w:tab/>
      </w:r>
    </w:p>
    <w:p w14:paraId="259CC803">
      <w:pPr>
        <w:snapToGrid w:val="0"/>
        <w:spacing w:before="156" w:beforeLines="50" w:after="156" w:afterLines="50" w:line="240" w:lineRule="auto"/>
        <w:rPr>
          <w:rFonts w:hint="eastAsia" w:ascii="黑体" w:hAnsi="黑体" w:eastAsia="黑体" w:cs="黑体"/>
          <w:szCs w:val="24"/>
        </w:rPr>
      </w:pPr>
      <w:r>
        <w:rPr>
          <w:rFonts w:hint="eastAsia" w:ascii="黑体" w:hAnsi="黑体" w:eastAsia="黑体" w:cs="黑体"/>
          <w:szCs w:val="24"/>
        </w:rPr>
        <w:t>3.5</w:t>
      </w:r>
    </w:p>
    <w:p w14:paraId="771F5390">
      <w:pPr>
        <w:snapToGrid w:val="0"/>
        <w:spacing w:line="240" w:lineRule="auto"/>
        <w:ind w:firstLine="420" w:firstLineChars="200"/>
        <w:rPr>
          <w:rFonts w:hint="eastAsia" w:ascii="黑体" w:hAnsi="黑体" w:eastAsia="黑体" w:cs="黑体"/>
        </w:rPr>
      </w:pPr>
      <w:r>
        <w:rPr>
          <w:rFonts w:hint="eastAsia" w:ascii="黑体" w:hAnsi="黑体" w:eastAsia="黑体" w:cs="黑体"/>
        </w:rPr>
        <w:t>捕捞区  fishing zone</w:t>
      </w:r>
    </w:p>
    <w:p w14:paraId="2E751B18">
      <w:pPr>
        <w:snapToGrid w:val="0"/>
        <w:spacing w:line="240" w:lineRule="auto"/>
        <w:ind w:firstLine="420" w:firstLineChars="200"/>
        <w:rPr>
          <w:rFonts w:ascii="Times New Roman" w:hAnsi="Times New Roman"/>
        </w:rPr>
      </w:pPr>
      <w:r>
        <w:rPr>
          <w:rFonts w:ascii="Times New Roman" w:hAnsi="Times New Roman"/>
        </w:rPr>
        <w:t>在养殖池塘中构筑的用于集中捕捞的区域，一般</w:t>
      </w:r>
      <w:r>
        <w:rPr>
          <w:rFonts w:hint="eastAsia" w:ascii="Times New Roman" w:hAnsi="Times New Roman"/>
        </w:rPr>
        <w:t>池</w:t>
      </w:r>
      <w:r>
        <w:rPr>
          <w:rFonts w:ascii="Times New Roman" w:hAnsi="Times New Roman"/>
        </w:rPr>
        <w:t>体较深，便于</w:t>
      </w:r>
      <w:r>
        <w:rPr>
          <w:rFonts w:hint="eastAsia" w:ascii="Times New Roman" w:hAnsi="Times New Roman"/>
        </w:rPr>
        <w:t>集中养殖对象</w:t>
      </w:r>
      <w:r>
        <w:rPr>
          <w:rFonts w:ascii="Times New Roman" w:hAnsi="Times New Roman"/>
        </w:rPr>
        <w:t>与</w:t>
      </w:r>
      <w:r>
        <w:rPr>
          <w:rFonts w:hint="eastAsia" w:ascii="Times New Roman" w:hAnsi="Times New Roman"/>
        </w:rPr>
        <w:t>开展</w:t>
      </w:r>
      <w:r>
        <w:rPr>
          <w:rFonts w:ascii="Times New Roman" w:hAnsi="Times New Roman"/>
        </w:rPr>
        <w:t>捕捞作业。</w:t>
      </w:r>
    </w:p>
    <w:p w14:paraId="343279A7">
      <w:pPr>
        <w:snapToGrid w:val="0"/>
        <w:spacing w:before="156" w:beforeLines="50" w:after="156" w:afterLines="50" w:line="240" w:lineRule="auto"/>
        <w:rPr>
          <w:rFonts w:hint="eastAsia" w:ascii="黑体" w:hAnsi="黑体" w:eastAsia="黑体" w:cs="黑体"/>
        </w:rPr>
      </w:pPr>
      <w:r>
        <w:rPr>
          <w:rFonts w:hint="eastAsia" w:ascii="黑体" w:hAnsi="黑体" w:eastAsia="黑体" w:cs="黑体"/>
        </w:rPr>
        <w:t>3.6</w:t>
      </w:r>
    </w:p>
    <w:p w14:paraId="478D8144">
      <w:pPr>
        <w:snapToGrid w:val="0"/>
        <w:spacing w:line="240" w:lineRule="auto"/>
        <w:ind w:firstLine="420" w:firstLineChars="200"/>
        <w:rPr>
          <w:rFonts w:hint="eastAsia" w:ascii="黑体" w:hAnsi="黑体" w:eastAsia="黑体" w:cs="黑体"/>
        </w:rPr>
      </w:pPr>
      <w:r>
        <w:rPr>
          <w:rFonts w:hint="eastAsia" w:ascii="黑体" w:hAnsi="黑体" w:eastAsia="黑体" w:cs="黑体"/>
        </w:rPr>
        <w:t>池塘养殖尾水 discharge water from aquaculture ponds</w:t>
      </w:r>
    </w:p>
    <w:p w14:paraId="0EC8F745">
      <w:pPr>
        <w:snapToGrid w:val="0"/>
        <w:spacing w:line="240" w:lineRule="auto"/>
        <w:ind w:firstLine="420" w:firstLineChars="200"/>
        <w:rPr>
          <w:rFonts w:ascii="Times New Roman" w:hAnsi="Times New Roman"/>
        </w:rPr>
      </w:pPr>
      <w:r>
        <w:rPr>
          <w:rFonts w:hint="eastAsia" w:ascii="Times New Roman" w:hAnsi="Times New Roman"/>
        </w:rPr>
        <w:t>由池塘养殖产生的向外环境排放的水。</w:t>
      </w:r>
    </w:p>
    <w:p w14:paraId="7AAA6890">
      <w:pPr>
        <w:snapToGrid w:val="0"/>
        <w:spacing w:line="240" w:lineRule="auto"/>
        <w:ind w:firstLine="420" w:firstLineChars="200"/>
        <w:rPr>
          <w:rFonts w:ascii="Times New Roman" w:hAnsi="Times New Roman"/>
        </w:rPr>
      </w:pPr>
      <w:r>
        <w:rPr>
          <w:rFonts w:hint="eastAsia" w:ascii="Times New Roman" w:hAnsi="Times New Roman"/>
        </w:rPr>
        <w:t>[来源：DB32/T 4725</w:t>
      </w:r>
      <w:r>
        <w:rPr>
          <w:rFonts w:ascii="Times New Roman" w:hAnsi="Times New Roman"/>
        </w:rPr>
        <w:t>—20</w:t>
      </w:r>
      <w:r>
        <w:rPr>
          <w:rFonts w:hint="eastAsia" w:ascii="Times New Roman" w:hAnsi="Times New Roman"/>
        </w:rPr>
        <w:t>24，3.1]</w:t>
      </w:r>
    </w:p>
    <w:p w14:paraId="0B5C9453">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118" w:name="_Toc2718"/>
      <w:r>
        <w:rPr>
          <w:rFonts w:ascii="Times New Roman" w:hAnsi="Times New Roman" w:eastAsia="黑体"/>
          <w:kern w:val="0"/>
        </w:rPr>
        <w:t>总体要求</w:t>
      </w:r>
      <w:bookmarkEnd w:id="118"/>
    </w:p>
    <w:p w14:paraId="77BB83D1">
      <w:pPr>
        <w:snapToGrid w:val="0"/>
        <w:spacing w:line="240" w:lineRule="auto"/>
        <w:ind w:firstLine="420" w:firstLineChars="200"/>
        <w:rPr>
          <w:rFonts w:ascii="Times New Roman" w:hAnsi="Times New Roman"/>
        </w:rPr>
      </w:pPr>
      <w:r>
        <w:rPr>
          <w:rFonts w:ascii="Times New Roman" w:hAnsi="Times New Roman"/>
        </w:rPr>
        <w:t>光伏渔业池塘建设应充分考虑光伏发电系统的设计与布局对</w:t>
      </w:r>
      <w:r>
        <w:rPr>
          <w:rFonts w:hint="eastAsia" w:ascii="Times New Roman" w:hAnsi="Times New Roman"/>
        </w:rPr>
        <w:t>养殖</w:t>
      </w:r>
      <w:r>
        <w:rPr>
          <w:rFonts w:ascii="Times New Roman" w:hAnsi="Times New Roman"/>
        </w:rPr>
        <w:t>池塘环境的影响，兼顾光伏方阵与养殖设施的合理</w:t>
      </w:r>
      <w:r>
        <w:rPr>
          <w:rFonts w:hint="eastAsia" w:ascii="Times New Roman" w:hAnsi="Times New Roman"/>
        </w:rPr>
        <w:t>布设</w:t>
      </w:r>
      <w:r>
        <w:rPr>
          <w:rFonts w:ascii="Times New Roman" w:hAnsi="Times New Roman"/>
        </w:rPr>
        <w:t>，</w:t>
      </w:r>
      <w:r>
        <w:rPr>
          <w:rFonts w:hint="eastAsia" w:ascii="Times New Roman" w:hAnsi="Times New Roman"/>
        </w:rPr>
        <w:t>保障项目建设完成后养殖平均产量不低于同地区、同模式平均养殖产量的80%，同时尽量</w:t>
      </w:r>
      <w:r>
        <w:rPr>
          <w:rFonts w:ascii="Times New Roman" w:hAnsi="Times New Roman"/>
        </w:rPr>
        <w:t>避免光伏方阵给水产养殖带来管理与操作上的不便，合理设置</w:t>
      </w:r>
      <w:r>
        <w:rPr>
          <w:rFonts w:hint="eastAsia" w:ascii="Times New Roman" w:hAnsi="Times New Roman"/>
        </w:rPr>
        <w:t>尾水</w:t>
      </w:r>
      <w:r>
        <w:rPr>
          <w:rFonts w:ascii="Times New Roman" w:hAnsi="Times New Roman"/>
        </w:rPr>
        <w:t>净化区域，达到安全水产品和清洁能源二者兼得的目的。</w:t>
      </w:r>
    </w:p>
    <w:p w14:paraId="7AD0EBF3">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119" w:name="_Toc10589"/>
      <w:r>
        <w:rPr>
          <w:rFonts w:ascii="Times New Roman" w:hAnsi="Times New Roman" w:eastAsia="黑体"/>
          <w:kern w:val="0"/>
        </w:rPr>
        <w:t>场址选择</w:t>
      </w:r>
      <w:bookmarkEnd w:id="119"/>
    </w:p>
    <w:p w14:paraId="450080D5">
      <w:pPr>
        <w:snapToGrid w:val="0"/>
        <w:spacing w:line="240" w:lineRule="auto"/>
        <w:ind w:firstLine="420" w:firstLineChars="200"/>
        <w:rPr>
          <w:rFonts w:ascii="Times New Roman" w:hAnsi="Times New Roman"/>
        </w:rPr>
      </w:pPr>
      <w:r>
        <w:rPr>
          <w:rFonts w:ascii="Times New Roman" w:hAnsi="Times New Roman"/>
        </w:rPr>
        <w:t>光伏渔业场址选择应满足下列要求：</w:t>
      </w:r>
    </w:p>
    <w:p w14:paraId="20F7B190">
      <w:pPr>
        <w:snapToGrid w:val="0"/>
        <w:spacing w:line="240" w:lineRule="auto"/>
        <w:ind w:firstLine="420" w:firstLineChars="200"/>
        <w:rPr>
          <w:rFonts w:ascii="Times New Roman" w:hAnsi="Times New Roman"/>
        </w:rPr>
      </w:pPr>
      <w:r>
        <w:rPr>
          <w:rFonts w:ascii="Times New Roman" w:hAnsi="Times New Roman"/>
        </w:rPr>
        <w:t>——符合GB 50797对光伏电站选址要求；</w:t>
      </w:r>
    </w:p>
    <w:p w14:paraId="43EBC31E">
      <w:pPr>
        <w:snapToGrid w:val="0"/>
        <w:spacing w:line="240" w:lineRule="auto"/>
        <w:ind w:firstLine="420" w:firstLineChars="200"/>
        <w:rPr>
          <w:rFonts w:ascii="Times New Roman" w:hAnsi="Times New Roman"/>
        </w:rPr>
      </w:pPr>
      <w:r>
        <w:rPr>
          <w:rFonts w:ascii="Times New Roman" w:hAnsi="Times New Roman"/>
        </w:rPr>
        <w:t>——符合</w:t>
      </w:r>
      <w:r>
        <w:rPr>
          <w:rFonts w:hint="eastAsia" w:ascii="Times New Roman" w:hAnsi="Times New Roman"/>
        </w:rPr>
        <w:t>GB 11607对渔业水质要求；</w:t>
      </w:r>
    </w:p>
    <w:p w14:paraId="42CD724A">
      <w:pPr>
        <w:snapToGrid w:val="0"/>
        <w:spacing w:line="240" w:lineRule="auto"/>
        <w:ind w:firstLine="420" w:firstLineChars="200"/>
        <w:rPr>
          <w:rFonts w:ascii="Times New Roman" w:hAnsi="Times New Roman"/>
        </w:rPr>
      </w:pPr>
      <w:r>
        <w:rPr>
          <w:rFonts w:ascii="Times New Roman" w:hAnsi="Times New Roman"/>
        </w:rPr>
        <w:t>——池塘预期使用年限应不少于25年；</w:t>
      </w:r>
    </w:p>
    <w:p w14:paraId="06378EBB">
      <w:pPr>
        <w:snapToGrid w:val="0"/>
        <w:spacing w:line="240" w:lineRule="auto"/>
        <w:ind w:firstLine="420" w:firstLineChars="200"/>
        <w:rPr>
          <w:rFonts w:ascii="Times New Roman" w:hAnsi="Times New Roman"/>
        </w:rPr>
      </w:pPr>
      <w:r>
        <w:rPr>
          <w:rFonts w:ascii="Times New Roman" w:hAnsi="Times New Roman"/>
        </w:rPr>
        <w:t>——配套设施同时满足光伏发电与渔业生产需要。</w:t>
      </w:r>
    </w:p>
    <w:p w14:paraId="5DE8B5D5">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120" w:name="_Toc4589"/>
      <w:r>
        <w:rPr>
          <w:rFonts w:ascii="Times New Roman" w:hAnsi="Times New Roman" w:eastAsia="黑体"/>
          <w:kern w:val="0"/>
        </w:rPr>
        <w:t>规划与布局</w:t>
      </w:r>
      <w:bookmarkEnd w:id="120"/>
    </w:p>
    <w:p w14:paraId="52068850">
      <w:pPr>
        <w:snapToGrid w:val="0"/>
        <w:spacing w:line="240" w:lineRule="auto"/>
        <w:rPr>
          <w:rFonts w:ascii="Times New Roman" w:hAnsi="Times New Roman"/>
        </w:rPr>
      </w:pPr>
      <w:r>
        <w:rPr>
          <w:rFonts w:hint="eastAsia" w:ascii="黑体" w:hAnsi="黑体" w:eastAsia="黑体" w:cs="黑体"/>
        </w:rPr>
        <w:t>6.1</w:t>
      </w:r>
      <w:r>
        <w:rPr>
          <w:rFonts w:ascii="Times New Roman" w:hAnsi="Times New Roman"/>
        </w:rPr>
        <w:t>　光伏布置与水产设施设备的规划布局应充分考虑光伏系统建设、运维与养殖操作</w:t>
      </w:r>
      <w:r>
        <w:rPr>
          <w:rFonts w:hint="eastAsia" w:ascii="Times New Roman" w:hAnsi="Times New Roman"/>
        </w:rPr>
        <w:t>、</w:t>
      </w:r>
      <w:r>
        <w:rPr>
          <w:rFonts w:ascii="Times New Roman" w:hAnsi="Times New Roman"/>
        </w:rPr>
        <w:t>管理的便捷性、宜机性。</w:t>
      </w:r>
    </w:p>
    <w:p w14:paraId="6398E665">
      <w:pPr>
        <w:snapToGrid w:val="0"/>
        <w:spacing w:line="240" w:lineRule="auto"/>
        <w:rPr>
          <w:rFonts w:ascii="Times New Roman" w:hAnsi="Times New Roman"/>
        </w:rPr>
      </w:pPr>
      <w:r>
        <w:rPr>
          <w:rFonts w:hint="eastAsia" w:ascii="黑体" w:hAnsi="黑体" w:eastAsia="黑体" w:cs="黑体"/>
        </w:rPr>
        <w:t>6.2</w:t>
      </w:r>
      <w:r>
        <w:rPr>
          <w:rFonts w:ascii="Times New Roman" w:hAnsi="Times New Roman"/>
        </w:rPr>
        <w:t>　</w:t>
      </w:r>
      <w:r>
        <w:rPr>
          <w:rFonts w:hint="eastAsia" w:ascii="Times New Roman" w:hAnsi="Times New Roman"/>
        </w:rPr>
        <w:t>渔业生产品种选择和养殖</w:t>
      </w:r>
      <w:r>
        <w:rPr>
          <w:rFonts w:ascii="Times New Roman" w:hAnsi="Times New Roman"/>
        </w:rPr>
        <w:t>尾水处理的设置应因地制宜，</w:t>
      </w:r>
      <w:r>
        <w:rPr>
          <w:rFonts w:hint="eastAsia" w:ascii="Times New Roman" w:hAnsi="Times New Roman"/>
        </w:rPr>
        <w:t>以生态、安全、高效为宜。</w:t>
      </w:r>
    </w:p>
    <w:p w14:paraId="485D4488">
      <w:pPr>
        <w:snapToGrid w:val="0"/>
        <w:spacing w:line="240" w:lineRule="auto"/>
        <w:rPr>
          <w:rFonts w:ascii="Times New Roman" w:hAnsi="Times New Roman"/>
        </w:rPr>
      </w:pPr>
      <w:bookmarkStart w:id="121" w:name="_Toc30444"/>
      <w:bookmarkStart w:id="122" w:name="_Toc32221"/>
      <w:bookmarkStart w:id="123" w:name="_Toc28586"/>
      <w:r>
        <w:rPr>
          <w:rFonts w:hint="eastAsia" w:ascii="黑体" w:hAnsi="黑体" w:eastAsia="黑体" w:cs="黑体"/>
        </w:rPr>
        <w:t>6.</w:t>
      </w:r>
      <w:bookmarkEnd w:id="121"/>
      <w:bookmarkEnd w:id="122"/>
      <w:bookmarkEnd w:id="123"/>
      <w:r>
        <w:rPr>
          <w:rFonts w:hint="eastAsia" w:ascii="黑体" w:hAnsi="黑体" w:eastAsia="黑体" w:cs="黑体"/>
        </w:rPr>
        <w:t>3</w:t>
      </w:r>
      <w:r>
        <w:rPr>
          <w:rFonts w:ascii="Times New Roman" w:hAnsi="Times New Roman"/>
        </w:rPr>
        <w:t>　整体设计美观大方，</w:t>
      </w:r>
      <w:r>
        <w:rPr>
          <w:rFonts w:hint="eastAsia" w:ascii="Times New Roman" w:hAnsi="Times New Roman"/>
        </w:rPr>
        <w:t>与美丽城乡建设有机结合，</w:t>
      </w:r>
      <w:r>
        <w:rPr>
          <w:rFonts w:ascii="Times New Roman" w:hAnsi="Times New Roman"/>
        </w:rPr>
        <w:t>宜配置一定的景观设计。</w:t>
      </w:r>
    </w:p>
    <w:p w14:paraId="59EC3284">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124" w:name="_Toc18823"/>
      <w:r>
        <w:rPr>
          <w:rFonts w:ascii="Times New Roman" w:hAnsi="Times New Roman" w:eastAsia="黑体"/>
          <w:kern w:val="0"/>
        </w:rPr>
        <w:t>建设</w:t>
      </w:r>
      <w:r>
        <w:rPr>
          <w:rFonts w:hint="eastAsia" w:ascii="Times New Roman" w:hAnsi="Times New Roman" w:eastAsia="黑体"/>
          <w:kern w:val="0"/>
        </w:rPr>
        <w:t>施工</w:t>
      </w:r>
      <w:bookmarkEnd w:id="124"/>
    </w:p>
    <w:p w14:paraId="4DC9C614">
      <w:pPr>
        <w:numPr>
          <w:ilvl w:val="1"/>
          <w:numId w:val="33"/>
        </w:numPr>
        <w:adjustRightInd/>
        <w:snapToGrid w:val="0"/>
        <w:spacing w:before="156" w:beforeLines="50" w:after="156" w:afterLines="50" w:line="240" w:lineRule="auto"/>
        <w:outlineLvl w:val="1"/>
        <w:rPr>
          <w:rFonts w:ascii="Times New Roman" w:hAnsi="Times New Roman" w:eastAsia="黑体"/>
          <w:szCs w:val="24"/>
        </w:rPr>
      </w:pPr>
      <w:bookmarkStart w:id="125" w:name="_Toc20423"/>
      <w:r>
        <w:rPr>
          <w:rFonts w:ascii="Times New Roman" w:hAnsi="Times New Roman" w:eastAsia="黑体"/>
          <w:szCs w:val="24"/>
        </w:rPr>
        <w:t>养殖设施与装备</w:t>
      </w:r>
      <w:bookmarkEnd w:id="125"/>
    </w:p>
    <w:p w14:paraId="15320B63">
      <w:pPr>
        <w:snapToGrid w:val="0"/>
        <w:spacing w:line="240" w:lineRule="auto"/>
        <w:rPr>
          <w:rFonts w:ascii="Times New Roman" w:hAnsi="Times New Roman"/>
        </w:rPr>
      </w:pPr>
      <w:r>
        <w:rPr>
          <w:rFonts w:hint="eastAsia" w:ascii="黑体" w:hAnsi="黑体" w:eastAsia="黑体" w:cs="黑体"/>
        </w:rPr>
        <w:t>7.1.1</w:t>
      </w:r>
      <w:r>
        <w:rPr>
          <w:rFonts w:ascii="Times New Roman" w:hAnsi="Times New Roman"/>
        </w:rPr>
        <w:t>　光伏发电系统建设之前，结合光伏发电系统对养殖的影响，根据实际情况做好养殖池塘的基础设施与装备优化提档建设。符合下列要求：</w:t>
      </w:r>
    </w:p>
    <w:p w14:paraId="6CC3718A">
      <w:pPr>
        <w:snapToGrid w:val="0"/>
        <w:spacing w:line="240" w:lineRule="auto"/>
        <w:ind w:firstLine="420" w:firstLineChars="200"/>
        <w:rPr>
          <w:rFonts w:ascii="Times New Roman" w:hAnsi="Times New Roman"/>
        </w:rPr>
      </w:pPr>
      <w:r>
        <w:rPr>
          <w:rFonts w:ascii="Times New Roman" w:hAnsi="Times New Roman"/>
        </w:rPr>
        <w:t>——根据</w:t>
      </w:r>
      <w:r>
        <w:rPr>
          <w:rFonts w:hint="eastAsia" w:ascii="Times New Roman" w:hAnsi="Times New Roman"/>
        </w:rPr>
        <w:t>捕捞方式、</w:t>
      </w:r>
      <w:r>
        <w:rPr>
          <w:rFonts w:ascii="Times New Roman" w:hAnsi="Times New Roman"/>
        </w:rPr>
        <w:t>养殖品种、养殖产量、水域</w:t>
      </w:r>
      <w:r>
        <w:rPr>
          <w:rFonts w:hint="eastAsia" w:ascii="Times New Roman" w:hAnsi="Times New Roman"/>
        </w:rPr>
        <w:t>环境</w:t>
      </w:r>
      <w:r>
        <w:rPr>
          <w:rFonts w:ascii="Times New Roman" w:hAnsi="Times New Roman"/>
        </w:rPr>
        <w:t>情况等因素</w:t>
      </w:r>
      <w:r>
        <w:rPr>
          <w:rFonts w:hint="eastAsia" w:ascii="Times New Roman" w:hAnsi="Times New Roman"/>
        </w:rPr>
        <w:t>综合考虑是否</w:t>
      </w:r>
      <w:r>
        <w:rPr>
          <w:rFonts w:ascii="Times New Roman" w:hAnsi="Times New Roman"/>
        </w:rPr>
        <w:t>设置投喂区、捕捞区</w:t>
      </w:r>
      <w:r>
        <w:rPr>
          <w:rFonts w:hint="eastAsia" w:ascii="Times New Roman" w:hAnsi="Times New Roman"/>
        </w:rPr>
        <w:t>，</w:t>
      </w:r>
      <w:r>
        <w:rPr>
          <w:rFonts w:ascii="Times New Roman" w:hAnsi="Times New Roman"/>
        </w:rPr>
        <w:t>二者宜合并设置，捕捞区</w:t>
      </w:r>
      <w:r>
        <w:rPr>
          <w:rFonts w:hint="eastAsia" w:ascii="Times New Roman" w:hAnsi="Times New Roman"/>
          <w:lang w:val="en-US" w:eastAsia="zh-CN"/>
        </w:rPr>
        <w:t>塘底</w:t>
      </w:r>
      <w:r>
        <w:rPr>
          <w:rFonts w:ascii="Times New Roman" w:hAnsi="Times New Roman"/>
        </w:rPr>
        <w:t>宜低于光伏区1</w:t>
      </w:r>
      <w:r>
        <w:rPr>
          <w:rFonts w:hint="eastAsia" w:ascii="Times New Roman" w:hAnsi="Times New Roman"/>
        </w:rPr>
        <w:t xml:space="preserve"> </w:t>
      </w:r>
      <w:r>
        <w:rPr>
          <w:rFonts w:ascii="Times New Roman" w:hAnsi="Times New Roman"/>
        </w:rPr>
        <w:t>m以上，坡比宜较缓</w:t>
      </w:r>
      <w:r>
        <w:rPr>
          <w:rFonts w:hint="eastAsia" w:ascii="Times New Roman" w:hAnsi="Times New Roman"/>
        </w:rPr>
        <w:t>，</w:t>
      </w:r>
      <w:r>
        <w:rPr>
          <w:rFonts w:ascii="Times New Roman" w:hAnsi="Times New Roman"/>
        </w:rPr>
        <w:t>捕捞区面积应结合养殖品种、养殖产量、捕捞方式等因素综合考虑，</w:t>
      </w:r>
      <w:r>
        <w:rPr>
          <w:rFonts w:hint="eastAsia" w:ascii="Times New Roman" w:hAnsi="Times New Roman"/>
        </w:rPr>
        <w:t>宜不低于池塘面积的5%，</w:t>
      </w:r>
      <w:r>
        <w:rPr>
          <w:rFonts w:ascii="Times New Roman" w:hAnsi="Times New Roman"/>
        </w:rPr>
        <w:t>捕捞区位置应考虑捕捞操作</w:t>
      </w:r>
      <w:r>
        <w:rPr>
          <w:rFonts w:hint="eastAsia" w:ascii="Times New Roman" w:hAnsi="Times New Roman"/>
        </w:rPr>
        <w:t>与</w:t>
      </w:r>
      <w:r>
        <w:rPr>
          <w:rFonts w:ascii="Times New Roman" w:hAnsi="Times New Roman"/>
        </w:rPr>
        <w:t>交通的便利性；</w:t>
      </w:r>
    </w:p>
    <w:p w14:paraId="138686C6">
      <w:pPr>
        <w:snapToGrid w:val="0"/>
        <w:spacing w:line="240" w:lineRule="auto"/>
        <w:ind w:firstLine="420" w:firstLineChars="200"/>
        <w:rPr>
          <w:rFonts w:ascii="Times New Roman" w:hAnsi="Times New Roman"/>
        </w:rPr>
      </w:pPr>
      <w:r>
        <w:rPr>
          <w:rFonts w:ascii="Times New Roman" w:hAnsi="Times New Roman"/>
        </w:rPr>
        <w:t>——</w:t>
      </w:r>
      <w:r>
        <w:rPr>
          <w:rFonts w:hint="eastAsia" w:ascii="Times New Roman" w:hAnsi="Times New Roman"/>
        </w:rPr>
        <w:t>综合考虑养殖品种，选</w:t>
      </w:r>
      <w:r>
        <w:rPr>
          <w:rFonts w:ascii="Times New Roman" w:hAnsi="Times New Roman"/>
        </w:rPr>
        <w:t>用</w:t>
      </w:r>
      <w:r>
        <w:rPr>
          <w:rFonts w:hint="eastAsia" w:ascii="Times New Roman" w:hAnsi="Times New Roman"/>
        </w:rPr>
        <w:t>硬化、覆膜等合理方式</w:t>
      </w:r>
      <w:r>
        <w:rPr>
          <w:rFonts w:ascii="Times New Roman" w:hAnsi="Times New Roman"/>
        </w:rPr>
        <w:t>做好护坡；</w:t>
      </w:r>
    </w:p>
    <w:p w14:paraId="2F7D32C6">
      <w:pPr>
        <w:snapToGrid w:val="0"/>
        <w:spacing w:line="240" w:lineRule="auto"/>
        <w:ind w:firstLine="420" w:firstLineChars="200"/>
        <w:rPr>
          <w:rFonts w:hint="eastAsia" w:ascii="Times New Roman" w:hAnsi="Times New Roman" w:eastAsia="宋体"/>
          <w:lang w:eastAsia="zh-CN"/>
        </w:rPr>
      </w:pPr>
      <w:r>
        <w:rPr>
          <w:rFonts w:ascii="Times New Roman" w:hAnsi="Times New Roman"/>
        </w:rPr>
        <w:t>——修建</w:t>
      </w:r>
      <w:r>
        <w:rPr>
          <w:rFonts w:hint="eastAsia" w:ascii="Times New Roman" w:hAnsi="Times New Roman"/>
        </w:rPr>
        <w:t>进</w:t>
      </w:r>
      <w:r>
        <w:rPr>
          <w:rFonts w:ascii="Times New Roman" w:hAnsi="Times New Roman"/>
        </w:rPr>
        <w:t>排水设施，</w:t>
      </w:r>
      <w:r>
        <w:rPr>
          <w:rFonts w:hint="eastAsia" w:ascii="Times New Roman" w:hAnsi="Times New Roman"/>
        </w:rPr>
        <w:t>进排水系统应独立分开，</w:t>
      </w:r>
      <w:r>
        <w:rPr>
          <w:rFonts w:ascii="Times New Roman" w:hAnsi="Times New Roman"/>
        </w:rPr>
        <w:t>养殖尾水宜统一汇集至尾水净化区治理达标后再</w:t>
      </w:r>
      <w:r>
        <w:rPr>
          <w:rFonts w:hint="eastAsia" w:ascii="Times New Roman" w:hAnsi="Times New Roman"/>
        </w:rPr>
        <w:t>排出</w:t>
      </w:r>
      <w:r>
        <w:rPr>
          <w:rFonts w:hint="eastAsia" w:ascii="Times New Roman" w:hAnsi="Times New Roman"/>
          <w:lang w:eastAsia="zh-CN"/>
        </w:rPr>
        <w:t>；</w:t>
      </w:r>
    </w:p>
    <w:p w14:paraId="214150A2">
      <w:pPr>
        <w:snapToGrid w:val="0"/>
        <w:spacing w:line="240" w:lineRule="auto"/>
        <w:ind w:firstLine="420" w:firstLineChars="200"/>
        <w:rPr>
          <w:rFonts w:ascii="Times New Roman" w:hAnsi="Times New Roman"/>
        </w:rPr>
      </w:pPr>
      <w:r>
        <w:rPr>
          <w:rFonts w:ascii="Times New Roman" w:hAnsi="Times New Roman"/>
        </w:rPr>
        <w:t>——综合考虑养殖品种、养殖产量、养殖模式、遮</w:t>
      </w:r>
      <w:r>
        <w:rPr>
          <w:rFonts w:hint="eastAsia" w:ascii="Times New Roman" w:hAnsi="Times New Roman"/>
        </w:rPr>
        <w:t>荫</w:t>
      </w:r>
      <w:r>
        <w:rPr>
          <w:rFonts w:ascii="Times New Roman" w:hAnsi="Times New Roman"/>
        </w:rPr>
        <w:t>比例等因素，合理安装增氧机</w:t>
      </w:r>
      <w:r>
        <w:rPr>
          <w:rFonts w:hint="eastAsia" w:ascii="Times New Roman" w:hAnsi="Times New Roman"/>
        </w:rPr>
        <w:t>的数量及布局</w:t>
      </w:r>
      <w:r>
        <w:rPr>
          <w:rFonts w:ascii="Times New Roman" w:hAnsi="Times New Roman"/>
        </w:rPr>
        <w:t>；</w:t>
      </w:r>
    </w:p>
    <w:p w14:paraId="3D4E326B">
      <w:pPr>
        <w:snapToGrid w:val="0"/>
        <w:spacing w:line="240" w:lineRule="auto"/>
        <w:ind w:firstLine="420" w:firstLineChars="200"/>
        <w:rPr>
          <w:rFonts w:ascii="Times New Roman" w:hAnsi="Times New Roman"/>
        </w:rPr>
      </w:pPr>
      <w:r>
        <w:rPr>
          <w:rFonts w:ascii="Times New Roman" w:hAnsi="Times New Roman"/>
        </w:rPr>
        <w:t>——</w:t>
      </w:r>
      <w:r>
        <w:rPr>
          <w:rFonts w:hint="eastAsia" w:ascii="Times New Roman" w:hAnsi="Times New Roman"/>
        </w:rPr>
        <w:t>根据塘口养殖操作管理具体情况，考虑行船通道和机械通道的设立。</w:t>
      </w:r>
    </w:p>
    <w:p w14:paraId="236768A8">
      <w:pPr>
        <w:snapToGrid w:val="0"/>
        <w:spacing w:line="240" w:lineRule="auto"/>
        <w:rPr>
          <w:rFonts w:ascii="Times New Roman" w:hAnsi="Times New Roman"/>
        </w:rPr>
      </w:pPr>
      <w:r>
        <w:rPr>
          <w:rFonts w:hint="eastAsia" w:ascii="黑体" w:hAnsi="黑体" w:eastAsia="黑体" w:cs="黑体"/>
        </w:rPr>
        <w:t>7.1.2</w:t>
      </w:r>
      <w:r>
        <w:rPr>
          <w:rFonts w:ascii="Times New Roman" w:hAnsi="Times New Roman"/>
        </w:rPr>
        <w:t>　水产养殖预埋件的使用年限应不低于25年。</w:t>
      </w:r>
    </w:p>
    <w:p w14:paraId="4211723D">
      <w:pPr>
        <w:snapToGrid w:val="0"/>
        <w:spacing w:line="240" w:lineRule="auto"/>
        <w:rPr>
          <w:rFonts w:ascii="Times New Roman" w:hAnsi="Times New Roman"/>
        </w:rPr>
      </w:pPr>
      <w:bookmarkStart w:id="126" w:name="_Toc13615"/>
      <w:bookmarkStart w:id="127" w:name="_Toc16573"/>
      <w:bookmarkStart w:id="128" w:name="_Toc16276"/>
      <w:r>
        <w:rPr>
          <w:rFonts w:hint="eastAsia" w:ascii="黑体" w:hAnsi="黑体" w:eastAsia="黑体" w:cs="黑体"/>
        </w:rPr>
        <w:t>7.1.3</w:t>
      </w:r>
      <w:r>
        <w:rPr>
          <w:rFonts w:ascii="Times New Roman" w:hAnsi="Times New Roman"/>
        </w:rPr>
        <w:t>　其他要求应遵循SC/T 6048相关规定。</w:t>
      </w:r>
    </w:p>
    <w:bookmarkEnd w:id="126"/>
    <w:bookmarkEnd w:id="127"/>
    <w:bookmarkEnd w:id="128"/>
    <w:p w14:paraId="3243958B">
      <w:pPr>
        <w:numPr>
          <w:ilvl w:val="1"/>
          <w:numId w:val="33"/>
        </w:numPr>
        <w:adjustRightInd/>
        <w:snapToGrid w:val="0"/>
        <w:spacing w:before="156" w:beforeLines="50" w:after="156" w:afterLines="50" w:line="240" w:lineRule="auto"/>
        <w:outlineLvl w:val="1"/>
        <w:rPr>
          <w:rFonts w:ascii="Times New Roman" w:hAnsi="Times New Roman" w:eastAsia="黑体"/>
          <w:szCs w:val="24"/>
        </w:rPr>
      </w:pPr>
      <w:bookmarkStart w:id="129" w:name="_Toc29455"/>
      <w:r>
        <w:rPr>
          <w:rFonts w:ascii="Times New Roman" w:hAnsi="Times New Roman" w:eastAsia="黑体"/>
          <w:szCs w:val="24"/>
        </w:rPr>
        <w:t>光伏发电设施</w:t>
      </w:r>
      <w:bookmarkEnd w:id="129"/>
    </w:p>
    <w:p w14:paraId="649BC506">
      <w:pPr>
        <w:snapToGrid w:val="0"/>
        <w:spacing w:line="240" w:lineRule="auto"/>
        <w:rPr>
          <w:rFonts w:ascii="Times New Roman" w:hAnsi="Times New Roman"/>
        </w:rPr>
      </w:pPr>
      <w:r>
        <w:rPr>
          <w:rFonts w:hint="eastAsia" w:ascii="黑体" w:hAnsi="黑体" w:eastAsia="黑体" w:cs="黑体"/>
        </w:rPr>
        <w:t>7.2.1</w:t>
      </w:r>
      <w:r>
        <w:rPr>
          <w:rFonts w:ascii="Times New Roman" w:hAnsi="Times New Roman"/>
        </w:rPr>
        <w:t>　光伏支架宜选用跨度较大的支架类型。</w:t>
      </w:r>
    </w:p>
    <w:p w14:paraId="14296F44">
      <w:pPr>
        <w:snapToGrid w:val="0"/>
        <w:spacing w:line="240" w:lineRule="auto"/>
        <w:rPr>
          <w:rFonts w:ascii="Times New Roman" w:hAnsi="Times New Roman"/>
        </w:rPr>
      </w:pPr>
      <w:r>
        <w:rPr>
          <w:rFonts w:hint="eastAsia" w:ascii="黑体" w:hAnsi="黑体" w:eastAsia="黑体" w:cs="黑体"/>
          <w:snapToGrid w:val="0"/>
          <w:kern w:val="0"/>
        </w:rPr>
        <w:t>7.2.2</w:t>
      </w:r>
      <w:r>
        <w:rPr>
          <w:rFonts w:ascii="Times New Roman" w:hAnsi="Times New Roman"/>
        </w:rPr>
        <w:t>　</w:t>
      </w:r>
      <w:r>
        <w:rPr>
          <w:rFonts w:hint="eastAsia" w:ascii="Times New Roman" w:hAnsi="Times New Roman"/>
        </w:rPr>
        <w:t>位于水面上空的</w:t>
      </w:r>
      <w:r>
        <w:rPr>
          <w:rFonts w:ascii="Times New Roman" w:hAnsi="Times New Roman"/>
        </w:rPr>
        <w:t>光伏组件</w:t>
      </w:r>
      <w:r>
        <w:rPr>
          <w:rFonts w:hint="eastAsia" w:ascii="Times New Roman" w:hAnsi="Times New Roman"/>
        </w:rPr>
        <w:t>，其</w:t>
      </w:r>
      <w:r>
        <w:rPr>
          <w:rFonts w:ascii="Times New Roman" w:hAnsi="Times New Roman"/>
        </w:rPr>
        <w:t>垂直投影面积宜不大于所在允许建设光伏方阵水域总净水面积（常水位）的40%，水面漂浮式光伏建设面积宜不大于所在允许建设光伏方阵水域总净</w:t>
      </w:r>
      <w:r>
        <w:rPr>
          <w:rFonts w:hint="eastAsia" w:ascii="Times New Roman" w:hAnsi="Times New Roman"/>
        </w:rPr>
        <w:t>水</w:t>
      </w:r>
      <w:r>
        <w:rPr>
          <w:rFonts w:ascii="Times New Roman" w:hAnsi="Times New Roman"/>
        </w:rPr>
        <w:t>面积（常水位）的30%。</w:t>
      </w:r>
    </w:p>
    <w:p w14:paraId="6409F203">
      <w:pPr>
        <w:snapToGrid w:val="0"/>
        <w:spacing w:line="240" w:lineRule="auto"/>
        <w:rPr>
          <w:rFonts w:ascii="Times New Roman" w:hAnsi="Times New Roman"/>
        </w:rPr>
      </w:pPr>
      <w:r>
        <w:rPr>
          <w:rFonts w:hint="eastAsia" w:ascii="黑体" w:hAnsi="黑体" w:eastAsia="黑体" w:cs="黑体"/>
        </w:rPr>
        <w:t>7.2.3</w:t>
      </w:r>
      <w:r>
        <w:rPr>
          <w:rFonts w:hint="eastAsia" w:ascii="Times New Roman" w:hAnsi="Times New Roman"/>
        </w:rPr>
        <w:t>　位于具有通行功能的塘埂或道路上空的光伏组件，光伏组件下沿离埂面、路面不低于2.5 m。</w:t>
      </w:r>
    </w:p>
    <w:p w14:paraId="609103A0">
      <w:pPr>
        <w:snapToGrid w:val="0"/>
        <w:spacing w:line="240" w:lineRule="auto"/>
        <w:rPr>
          <w:rFonts w:ascii="Times New Roman" w:hAnsi="Times New Roman"/>
        </w:rPr>
      </w:pPr>
      <w:r>
        <w:rPr>
          <w:rFonts w:hint="eastAsia" w:ascii="黑体" w:hAnsi="黑体" w:eastAsia="黑体" w:cs="黑体"/>
        </w:rPr>
        <w:t>7.2.4</w:t>
      </w:r>
      <w:r>
        <w:rPr>
          <w:rFonts w:ascii="Times New Roman" w:hAnsi="Times New Roman"/>
        </w:rPr>
        <w:t>　水域常水位点与光伏组件最低点，两点之间垂直距离宜不小于</w:t>
      </w:r>
      <w:r>
        <w:rPr>
          <w:rFonts w:hint="eastAsia" w:ascii="Times New Roman" w:hAnsi="Times New Roman"/>
        </w:rPr>
        <w:t>2 m</w:t>
      </w:r>
      <w:r>
        <w:rPr>
          <w:rFonts w:ascii="Times New Roman" w:hAnsi="Times New Roman"/>
        </w:rPr>
        <w:t>；养殖水域最高水位点与光伏组件最低点，两点之间防洪消落区宜不小于0.6</w:t>
      </w:r>
      <w:r>
        <w:rPr>
          <w:rFonts w:hint="eastAsia" w:ascii="Times New Roman" w:hAnsi="Times New Roman"/>
        </w:rPr>
        <w:t xml:space="preserve"> m</w:t>
      </w:r>
      <w:r>
        <w:rPr>
          <w:rFonts w:ascii="Times New Roman" w:hAnsi="Times New Roman"/>
        </w:rPr>
        <w:t>。</w:t>
      </w:r>
    </w:p>
    <w:p w14:paraId="2B89C1FA">
      <w:pPr>
        <w:snapToGrid w:val="0"/>
        <w:spacing w:line="240" w:lineRule="auto"/>
        <w:rPr>
          <w:rFonts w:ascii="Times New Roman" w:hAnsi="Times New Roman"/>
        </w:rPr>
      </w:pPr>
      <w:r>
        <w:rPr>
          <w:rFonts w:hint="eastAsia" w:ascii="黑体" w:hAnsi="黑体" w:eastAsia="黑体" w:cs="黑体"/>
        </w:rPr>
        <w:t>7.2.5</w:t>
      </w:r>
      <w:r>
        <w:rPr>
          <w:rFonts w:ascii="Times New Roman" w:hAnsi="Times New Roman"/>
        </w:rPr>
        <w:t>　其他要求应符合GB 50794规定。</w:t>
      </w:r>
    </w:p>
    <w:p w14:paraId="7FDA56FE">
      <w:pPr>
        <w:numPr>
          <w:ilvl w:val="1"/>
          <w:numId w:val="33"/>
        </w:numPr>
        <w:adjustRightInd/>
        <w:snapToGrid w:val="0"/>
        <w:spacing w:before="156" w:beforeLines="50" w:after="156" w:afterLines="50" w:line="240" w:lineRule="auto"/>
        <w:outlineLvl w:val="1"/>
        <w:rPr>
          <w:rFonts w:ascii="Times New Roman" w:hAnsi="Times New Roman" w:eastAsia="黑体"/>
          <w:szCs w:val="24"/>
        </w:rPr>
      </w:pPr>
      <w:bookmarkStart w:id="130" w:name="_Toc28561"/>
      <w:r>
        <w:rPr>
          <w:rFonts w:hint="eastAsia" w:ascii="Times New Roman" w:hAnsi="Times New Roman" w:eastAsia="黑体"/>
          <w:szCs w:val="24"/>
        </w:rPr>
        <w:t>养殖</w:t>
      </w:r>
      <w:r>
        <w:rPr>
          <w:rFonts w:ascii="Times New Roman" w:hAnsi="Times New Roman" w:eastAsia="黑体"/>
          <w:szCs w:val="24"/>
        </w:rPr>
        <w:t>尾水净化设施</w:t>
      </w:r>
      <w:bookmarkEnd w:id="130"/>
    </w:p>
    <w:p w14:paraId="39A4012D">
      <w:pPr>
        <w:snapToGrid w:val="0"/>
        <w:spacing w:line="240" w:lineRule="auto"/>
        <w:rPr>
          <w:rFonts w:ascii="Times New Roman" w:hAnsi="Times New Roman"/>
        </w:rPr>
      </w:pPr>
      <w:r>
        <w:rPr>
          <w:rFonts w:hint="eastAsia" w:ascii="黑体" w:hAnsi="黑体" w:eastAsia="黑体" w:cs="黑体"/>
        </w:rPr>
        <w:t>7.3.1</w:t>
      </w:r>
      <w:r>
        <w:rPr>
          <w:rFonts w:ascii="Times New Roman" w:hAnsi="Times New Roman"/>
        </w:rPr>
        <w:t>　根据不同养殖品种、养殖密度、</w:t>
      </w:r>
      <w:r>
        <w:rPr>
          <w:rFonts w:hint="eastAsia" w:ascii="Times New Roman" w:hAnsi="Times New Roman"/>
        </w:rPr>
        <w:t>养殖规模、污染负荷、</w:t>
      </w:r>
      <w:r>
        <w:rPr>
          <w:rFonts w:ascii="Times New Roman" w:hAnsi="Times New Roman"/>
        </w:rPr>
        <w:t>养殖模式等因素综合考虑，</w:t>
      </w:r>
      <w:r>
        <w:rPr>
          <w:rFonts w:hint="eastAsia" w:ascii="Times New Roman" w:hAnsi="Times New Roman"/>
        </w:rPr>
        <w:t>因地制宜，</w:t>
      </w:r>
      <w:r>
        <w:rPr>
          <w:rFonts w:ascii="Times New Roman" w:hAnsi="Times New Roman"/>
        </w:rPr>
        <w:t>尾水净化设施占水产养殖区总面积比例宜为3%</w:t>
      </w:r>
      <w:r>
        <w:rPr>
          <w:rFonts w:hint="eastAsia" w:ascii="Times New Roman" w:hAnsi="Times New Roman"/>
        </w:rPr>
        <w:t>~</w:t>
      </w:r>
      <w:r>
        <w:rPr>
          <w:rFonts w:ascii="Times New Roman" w:hAnsi="Times New Roman"/>
        </w:rPr>
        <w:t>20%</w:t>
      </w:r>
      <w:r>
        <w:rPr>
          <w:rFonts w:hint="eastAsia" w:ascii="Times New Roman" w:hAnsi="Times New Roman"/>
        </w:rPr>
        <w:t>，</w:t>
      </w:r>
      <w:r>
        <w:rPr>
          <w:rFonts w:ascii="Times New Roman" w:hAnsi="Times New Roman"/>
        </w:rPr>
        <w:t>满足DB32</w:t>
      </w:r>
      <w:r>
        <w:rPr>
          <w:rFonts w:hint="eastAsia" w:ascii="Times New Roman" w:hAnsi="Times New Roman"/>
          <w:lang w:val="en-US" w:eastAsia="zh-CN"/>
        </w:rPr>
        <w:t>/</w:t>
      </w:r>
      <w:r>
        <w:rPr>
          <w:rFonts w:ascii="Times New Roman" w:hAnsi="Times New Roman"/>
        </w:rPr>
        <w:t xml:space="preserve"> 4043相关要求。</w:t>
      </w:r>
    </w:p>
    <w:p w14:paraId="03900D8F">
      <w:pPr>
        <w:snapToGrid w:val="0"/>
        <w:spacing w:line="240" w:lineRule="auto"/>
        <w:rPr>
          <w:rFonts w:ascii="Times New Roman" w:hAnsi="Times New Roman"/>
        </w:rPr>
      </w:pPr>
      <w:r>
        <w:rPr>
          <w:rFonts w:hint="eastAsia" w:ascii="黑体" w:hAnsi="黑体" w:eastAsia="黑体" w:cs="黑体"/>
        </w:rPr>
        <w:t>7.3.2</w:t>
      </w:r>
      <w:r>
        <w:rPr>
          <w:rFonts w:ascii="Times New Roman" w:hAnsi="Times New Roman"/>
        </w:rPr>
        <w:t>　</w:t>
      </w:r>
      <w:r>
        <w:rPr>
          <w:rFonts w:hint="eastAsia" w:ascii="Times New Roman" w:hAnsi="Times New Roman"/>
        </w:rPr>
        <w:t>尾水治理工艺</w:t>
      </w:r>
      <w:r>
        <w:rPr>
          <w:rFonts w:hint="eastAsia" w:ascii="Times New Roman" w:hAnsi="Times New Roman"/>
          <w:lang w:val="en-US" w:eastAsia="zh-CN"/>
        </w:rPr>
        <w:t>应</w:t>
      </w:r>
      <w:r>
        <w:rPr>
          <w:rFonts w:hint="eastAsia" w:ascii="Times New Roman" w:hAnsi="Times New Roman"/>
        </w:rPr>
        <w:t>满足DB32/T 4725相关要求。</w:t>
      </w:r>
    </w:p>
    <w:p w14:paraId="760189A9">
      <w:pPr>
        <w:snapToGrid w:val="0"/>
        <w:spacing w:line="240" w:lineRule="auto"/>
        <w:rPr>
          <w:rFonts w:ascii="Times New Roman" w:hAnsi="Times New Roman"/>
        </w:rPr>
      </w:pPr>
      <w:r>
        <w:rPr>
          <w:rFonts w:hint="eastAsia" w:ascii="黑体" w:hAnsi="黑体" w:eastAsia="黑体" w:cs="黑体"/>
        </w:rPr>
        <w:t>7.3.3</w:t>
      </w:r>
      <w:r>
        <w:rPr>
          <w:rFonts w:ascii="Times New Roman" w:hAnsi="Times New Roman"/>
        </w:rPr>
        <w:t>　光伏组件</w:t>
      </w:r>
      <w:r>
        <w:rPr>
          <w:rFonts w:hint="eastAsia" w:ascii="Times New Roman" w:hAnsi="Times New Roman"/>
        </w:rPr>
        <w:t>的</w:t>
      </w:r>
      <w:r>
        <w:rPr>
          <w:rFonts w:ascii="Times New Roman" w:hAnsi="Times New Roman"/>
        </w:rPr>
        <w:t>布置应不影响净化区净化能力，</w:t>
      </w:r>
      <w:r>
        <w:rPr>
          <w:rFonts w:hint="eastAsia" w:ascii="Times New Roman" w:hAnsi="Times New Roman"/>
        </w:rPr>
        <w:t>应</w:t>
      </w:r>
      <w:r>
        <w:rPr>
          <w:rFonts w:ascii="Times New Roman" w:hAnsi="Times New Roman"/>
        </w:rPr>
        <w:t>少铺或不铺光伏组件。</w:t>
      </w:r>
    </w:p>
    <w:p w14:paraId="4DCB29CD">
      <w:pPr>
        <w:snapToGrid w:val="0"/>
        <w:spacing w:line="240" w:lineRule="auto"/>
        <w:rPr>
          <w:rFonts w:ascii="Times New Roman" w:hAnsi="Times New Roman"/>
        </w:rPr>
      </w:pPr>
      <w:r>
        <w:rPr>
          <w:rFonts w:hint="eastAsia" w:ascii="黑体" w:hAnsi="黑体" w:eastAsia="黑体" w:cs="黑体"/>
        </w:rPr>
        <w:t>7.3.4</w:t>
      </w:r>
      <w:r>
        <w:rPr>
          <w:rFonts w:ascii="Times New Roman" w:hAnsi="Times New Roman"/>
        </w:rPr>
        <w:t>　明确</w:t>
      </w:r>
      <w:r>
        <w:rPr>
          <w:rFonts w:hint="eastAsia" w:ascii="Times New Roman" w:hAnsi="Times New Roman"/>
        </w:rPr>
        <w:t>净化区</w:t>
      </w:r>
      <w:r>
        <w:rPr>
          <w:rFonts w:ascii="Times New Roman" w:hAnsi="Times New Roman"/>
        </w:rPr>
        <w:t>长效运维管理办法与责任主体。</w:t>
      </w:r>
    </w:p>
    <w:p w14:paraId="6C4C2705">
      <w:pPr>
        <w:snapToGrid w:val="0"/>
        <w:spacing w:line="240" w:lineRule="auto"/>
        <w:rPr>
          <w:rFonts w:ascii="Times New Roman" w:hAnsi="Times New Roman"/>
        </w:rPr>
      </w:pPr>
      <w:r>
        <w:rPr>
          <w:rFonts w:hint="eastAsia" w:ascii="黑体" w:hAnsi="黑体" w:eastAsia="黑体" w:cs="黑体"/>
        </w:rPr>
        <w:t>7.3.5</w:t>
      </w:r>
      <w:r>
        <w:rPr>
          <w:rFonts w:ascii="Times New Roman" w:hAnsi="Times New Roman"/>
        </w:rPr>
        <w:t>　</w:t>
      </w:r>
      <w:r>
        <w:rPr>
          <w:rFonts w:hint="eastAsia" w:ascii="Times New Roman" w:hAnsi="Times New Roman"/>
        </w:rPr>
        <w:t>尾水净化宜采用生物生态工艺，通过调节沉淀区、功能降解区、生态净化区的集中处理，实现达标排放。利用功能性微生物高效迭代和代谢能力，改善环境微生态，在水生动植物共同作用下，为水环境生态重构创造基础条件，恢复生物多样性，提升水体自净化能力。</w:t>
      </w:r>
    </w:p>
    <w:p w14:paraId="098652F1">
      <w:pPr>
        <w:snapToGrid w:val="0"/>
        <w:spacing w:before="156" w:beforeLines="50" w:line="240" w:lineRule="auto"/>
        <w:jc w:val="center"/>
        <w:rPr>
          <w:rFonts w:ascii="Times New Roman" w:hAnsi="Times New Roman"/>
        </w:rPr>
      </w:pPr>
      <w:r>
        <w:rPr>
          <w:rFonts w:ascii="Times New Roman" w:hAnsi="Times New Roman"/>
        </w:rPr>
        <w:drawing>
          <wp:inline distT="0" distB="0" distL="0" distR="0">
            <wp:extent cx="4958080" cy="930275"/>
            <wp:effectExtent l="0" t="0" r="0" b="3175"/>
            <wp:docPr id="12679449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944925"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958080" cy="930275"/>
                    </a:xfrm>
                    <a:prstGeom prst="rect">
                      <a:avLst/>
                    </a:prstGeom>
                    <a:noFill/>
                    <a:ln>
                      <a:noFill/>
                    </a:ln>
                  </pic:spPr>
                </pic:pic>
              </a:graphicData>
            </a:graphic>
          </wp:inline>
        </w:drawing>
      </w:r>
    </w:p>
    <w:p w14:paraId="2C8A8E62">
      <w:pPr>
        <w:snapToGrid w:val="0"/>
        <w:spacing w:after="156" w:afterLines="50" w:line="240" w:lineRule="auto"/>
        <w:ind w:right="57"/>
        <w:jc w:val="center"/>
        <w:rPr>
          <w:rFonts w:ascii="Times New Roman" w:hAnsi="Times New Roman"/>
        </w:rPr>
      </w:pPr>
      <w:r>
        <w:rPr>
          <w:rFonts w:hint="eastAsia" w:ascii="黑体" w:hAnsi="黑体" w:eastAsia="黑体" w:cs="黑体"/>
        </w:rPr>
        <w:t>图1  光伏渔业池塘养殖尾水生物生态处理流程</w:t>
      </w:r>
    </w:p>
    <w:p w14:paraId="1FE39120">
      <w:pPr>
        <w:snapToGrid w:val="0"/>
        <w:spacing w:line="240" w:lineRule="auto"/>
        <w:rPr>
          <w:rFonts w:ascii="Times New Roman" w:hAnsi="Times New Roman"/>
        </w:rPr>
      </w:pPr>
      <w:r>
        <w:rPr>
          <w:rFonts w:hint="eastAsia" w:ascii="黑体" w:hAnsi="黑体" w:eastAsia="黑体" w:cs="黑体"/>
        </w:rPr>
        <w:t>7.3.6</w:t>
      </w:r>
      <w:r>
        <w:rPr>
          <w:rFonts w:ascii="Times New Roman" w:hAnsi="Times New Roman"/>
        </w:rPr>
        <w:t>　</w:t>
      </w:r>
      <w:r>
        <w:rPr>
          <w:rFonts w:hint="eastAsia" w:ascii="Times New Roman" w:hAnsi="Times New Roman"/>
        </w:rPr>
        <w:t>光伏渔业池塘的水体微生态结构需要人工干预优化。从原住微生物中选育具有高效去碳、脱氮、聚磷、分解抗生素以及在低温、高盐等极端条件下优势定殖的功能性菌株，通过扩培、复配以及人工投加，优化养殖尾水的微生态结构，提升由微生物驱动的污染物消减效率。</w:t>
      </w:r>
    </w:p>
    <w:p w14:paraId="565E7EDA">
      <w:pPr>
        <w:numPr>
          <w:ilvl w:val="1"/>
          <w:numId w:val="33"/>
        </w:numPr>
        <w:adjustRightInd/>
        <w:snapToGrid w:val="0"/>
        <w:spacing w:before="156" w:beforeLines="50" w:after="156" w:afterLines="50" w:line="240" w:lineRule="auto"/>
        <w:outlineLvl w:val="1"/>
        <w:rPr>
          <w:rFonts w:ascii="Times New Roman" w:hAnsi="Times New Roman" w:eastAsia="黑体"/>
          <w:szCs w:val="24"/>
        </w:rPr>
      </w:pPr>
      <w:bookmarkStart w:id="131" w:name="_Toc28078"/>
      <w:r>
        <w:rPr>
          <w:rFonts w:ascii="Times New Roman" w:hAnsi="Times New Roman" w:eastAsia="黑体"/>
          <w:szCs w:val="24"/>
        </w:rPr>
        <w:t>配套设施</w:t>
      </w:r>
      <w:bookmarkEnd w:id="131"/>
    </w:p>
    <w:p w14:paraId="766A908D">
      <w:pPr>
        <w:snapToGrid w:val="0"/>
        <w:spacing w:line="240" w:lineRule="auto"/>
        <w:rPr>
          <w:rFonts w:ascii="Times New Roman" w:hAnsi="Times New Roman"/>
        </w:rPr>
      </w:pPr>
      <w:bookmarkStart w:id="132" w:name="_Toc2033"/>
      <w:bookmarkStart w:id="133" w:name="_Toc26171"/>
      <w:bookmarkStart w:id="134" w:name="_Toc6960"/>
      <w:r>
        <w:rPr>
          <w:rFonts w:hint="eastAsia" w:ascii="黑体" w:hAnsi="黑体" w:eastAsia="黑体" w:cs="黑体"/>
        </w:rPr>
        <w:t>7.4.1</w:t>
      </w:r>
      <w:r>
        <w:rPr>
          <w:rFonts w:ascii="Times New Roman" w:hAnsi="Times New Roman"/>
        </w:rPr>
        <w:t>　辅助设施包括</w:t>
      </w:r>
      <w:r>
        <w:rPr>
          <w:rFonts w:hint="eastAsia" w:ascii="Times New Roman" w:hAnsi="Times New Roman"/>
        </w:rPr>
        <w:t>围栏</w:t>
      </w:r>
      <w:r>
        <w:rPr>
          <w:rFonts w:hint="eastAsia" w:ascii="Times New Roman" w:hAnsi="Times New Roman"/>
          <w:lang w:eastAsia="zh-CN"/>
        </w:rPr>
        <w:t>、</w:t>
      </w:r>
      <w:r>
        <w:rPr>
          <w:rFonts w:ascii="Times New Roman" w:hAnsi="Times New Roman"/>
        </w:rPr>
        <w:t>监控设施、交通运输道路、水电气线路、通信</w:t>
      </w:r>
      <w:r>
        <w:rPr>
          <w:rFonts w:hint="eastAsia" w:ascii="Times New Roman" w:hAnsi="Times New Roman"/>
        </w:rPr>
        <w:t>网络</w:t>
      </w:r>
      <w:r>
        <w:rPr>
          <w:rFonts w:ascii="Times New Roman" w:hAnsi="Times New Roman"/>
        </w:rPr>
        <w:t>等，应同时满足光伏发电和水产养殖生产与生活需求。</w:t>
      </w:r>
    </w:p>
    <w:p w14:paraId="48B1CB76">
      <w:pPr>
        <w:snapToGrid w:val="0"/>
        <w:spacing w:line="240" w:lineRule="auto"/>
        <w:rPr>
          <w:rFonts w:ascii="Times New Roman" w:hAnsi="Times New Roman"/>
        </w:rPr>
      </w:pPr>
      <w:r>
        <w:rPr>
          <w:rFonts w:hint="eastAsia" w:ascii="黑体" w:hAnsi="黑体" w:eastAsia="黑体" w:cs="黑体"/>
        </w:rPr>
        <w:t>7.4.2</w:t>
      </w:r>
      <w:r>
        <w:rPr>
          <w:rFonts w:ascii="Times New Roman" w:hAnsi="Times New Roman"/>
        </w:rPr>
        <w:t>　电气线路、管道应采用地埋或架空方式。</w:t>
      </w:r>
    </w:p>
    <w:p w14:paraId="05AC9FC3">
      <w:pPr>
        <w:snapToGrid w:val="0"/>
        <w:spacing w:line="240" w:lineRule="auto"/>
        <w:rPr>
          <w:rFonts w:ascii="Times New Roman" w:hAnsi="Times New Roman"/>
        </w:rPr>
      </w:pPr>
      <w:r>
        <w:rPr>
          <w:rFonts w:hint="eastAsia" w:ascii="黑体" w:hAnsi="黑体" w:eastAsia="黑体" w:cs="黑体"/>
        </w:rPr>
        <w:t>7.4.3</w:t>
      </w:r>
      <w:r>
        <w:rPr>
          <w:rFonts w:ascii="Times New Roman" w:hAnsi="Times New Roman"/>
        </w:rPr>
        <w:t>　</w:t>
      </w:r>
      <w:r>
        <w:rPr>
          <w:rFonts w:hint="eastAsia" w:ascii="Times New Roman" w:hAnsi="Times New Roman"/>
        </w:rPr>
        <w:t>开展</w:t>
      </w:r>
      <w:r>
        <w:rPr>
          <w:rFonts w:ascii="Times New Roman" w:hAnsi="Times New Roman"/>
        </w:rPr>
        <w:t>水产养殖和光伏发电所用的管理用房</w:t>
      </w:r>
      <w:r>
        <w:rPr>
          <w:rFonts w:hint="eastAsia" w:ascii="Times New Roman" w:hAnsi="Times New Roman"/>
        </w:rPr>
        <w:t>须</w:t>
      </w:r>
      <w:r>
        <w:rPr>
          <w:rFonts w:ascii="Times New Roman" w:hAnsi="Times New Roman"/>
        </w:rPr>
        <w:t>分别设置</w:t>
      </w:r>
      <w:r>
        <w:rPr>
          <w:rFonts w:hint="eastAsia" w:ascii="Times New Roman" w:hAnsi="Times New Roman"/>
        </w:rPr>
        <w:t>，占比不超过2％</w:t>
      </w:r>
      <w:r>
        <w:rPr>
          <w:rFonts w:ascii="Times New Roman" w:hAnsi="Times New Roman"/>
        </w:rPr>
        <w:t>。</w:t>
      </w:r>
    </w:p>
    <w:p w14:paraId="403650EA">
      <w:pPr>
        <w:snapToGrid w:val="0"/>
        <w:spacing w:line="240" w:lineRule="auto"/>
        <w:rPr>
          <w:rFonts w:ascii="Times New Roman" w:hAnsi="Times New Roman"/>
        </w:rPr>
      </w:pPr>
      <w:r>
        <w:rPr>
          <w:rFonts w:hint="eastAsia" w:ascii="黑体" w:hAnsi="黑体" w:eastAsia="黑体" w:cs="黑体"/>
        </w:rPr>
        <w:t>7.4.4</w:t>
      </w:r>
      <w:r>
        <w:rPr>
          <w:rFonts w:ascii="Times New Roman" w:hAnsi="Times New Roman"/>
        </w:rPr>
        <w:t>　水产养殖</w:t>
      </w:r>
      <w:r>
        <w:rPr>
          <w:rFonts w:hint="eastAsia" w:ascii="Times New Roman" w:hAnsi="Times New Roman"/>
        </w:rPr>
        <w:t>区</w:t>
      </w:r>
      <w:r>
        <w:rPr>
          <w:rFonts w:ascii="Times New Roman" w:hAnsi="Times New Roman"/>
        </w:rPr>
        <w:t>需配备</w:t>
      </w:r>
      <w:r>
        <w:rPr>
          <w:rFonts w:hint="eastAsia" w:ascii="Times New Roman" w:hAnsi="Times New Roman"/>
        </w:rPr>
        <w:t>相同功率的</w:t>
      </w:r>
      <w:r>
        <w:rPr>
          <w:rFonts w:ascii="Times New Roman" w:hAnsi="Times New Roman"/>
        </w:rPr>
        <w:t>备用电源。</w:t>
      </w:r>
    </w:p>
    <w:p w14:paraId="210B6FA1">
      <w:pPr>
        <w:snapToGrid w:val="0"/>
        <w:spacing w:line="240" w:lineRule="auto"/>
        <w:rPr>
          <w:rFonts w:ascii="Times New Roman" w:hAnsi="Times New Roman"/>
        </w:rPr>
      </w:pPr>
      <w:r>
        <w:rPr>
          <w:rFonts w:hint="eastAsia" w:ascii="黑体" w:hAnsi="黑体" w:eastAsia="黑体" w:cs="黑体"/>
        </w:rPr>
        <w:t>7.4.5</w:t>
      </w:r>
      <w:r>
        <w:rPr>
          <w:rFonts w:ascii="Times New Roman" w:hAnsi="Times New Roman"/>
        </w:rPr>
        <w:t>　尾水净化配套设施需配备生物仓、生物模块、生态截滤坝、增氧系统、生物浮岛等。</w:t>
      </w:r>
    </w:p>
    <w:p w14:paraId="3EE7B3A2">
      <w:pPr>
        <w:numPr>
          <w:ilvl w:val="1"/>
          <w:numId w:val="33"/>
        </w:numPr>
        <w:adjustRightInd/>
        <w:snapToGrid w:val="0"/>
        <w:spacing w:before="156" w:beforeLines="50" w:after="156" w:afterLines="50" w:line="240" w:lineRule="auto"/>
        <w:outlineLvl w:val="1"/>
        <w:rPr>
          <w:rFonts w:ascii="Times New Roman" w:hAnsi="Times New Roman" w:eastAsia="黑体"/>
          <w:szCs w:val="24"/>
        </w:rPr>
      </w:pPr>
      <w:bookmarkStart w:id="135" w:name="_Toc25695"/>
      <w:r>
        <w:rPr>
          <w:rFonts w:ascii="Times New Roman" w:hAnsi="Times New Roman" w:eastAsia="黑体"/>
          <w:szCs w:val="24"/>
        </w:rPr>
        <w:t>进场施工</w:t>
      </w:r>
      <w:bookmarkEnd w:id="135"/>
    </w:p>
    <w:p w14:paraId="1E4E7EDE">
      <w:pPr>
        <w:snapToGrid w:val="0"/>
        <w:spacing w:line="240" w:lineRule="auto"/>
        <w:ind w:firstLine="420" w:firstLineChars="200"/>
        <w:rPr>
          <w:rFonts w:ascii="Times New Roman" w:hAnsi="Times New Roman"/>
        </w:rPr>
      </w:pPr>
      <w:r>
        <w:rPr>
          <w:rFonts w:ascii="Times New Roman" w:hAnsi="Times New Roman"/>
        </w:rPr>
        <w:t>先行完成</w:t>
      </w:r>
      <w:r>
        <w:rPr>
          <w:rFonts w:hint="eastAsia" w:ascii="Times New Roman" w:hAnsi="Times New Roman"/>
        </w:rPr>
        <w:t>池塘</w:t>
      </w:r>
      <w:r>
        <w:rPr>
          <w:rFonts w:ascii="Times New Roman" w:hAnsi="Times New Roman"/>
        </w:rPr>
        <w:t>生态化</w:t>
      </w:r>
      <w:r>
        <w:rPr>
          <w:rFonts w:hint="eastAsia" w:ascii="Times New Roman" w:hAnsi="Times New Roman"/>
        </w:rPr>
        <w:t>建设后</w:t>
      </w:r>
      <w:r>
        <w:rPr>
          <w:rFonts w:ascii="Times New Roman" w:hAnsi="Times New Roman"/>
        </w:rPr>
        <w:t>，</w:t>
      </w:r>
      <w:r>
        <w:rPr>
          <w:rFonts w:hint="eastAsia" w:ascii="Times New Roman" w:hAnsi="Times New Roman"/>
          <w:lang w:val="en-US" w:eastAsia="zh-CN"/>
        </w:rPr>
        <w:t>再</w:t>
      </w:r>
      <w:r>
        <w:rPr>
          <w:rFonts w:ascii="Times New Roman" w:hAnsi="Times New Roman"/>
        </w:rPr>
        <w:t>进行光伏建设施工。</w:t>
      </w:r>
    </w:p>
    <w:bookmarkEnd w:id="132"/>
    <w:bookmarkEnd w:id="133"/>
    <w:bookmarkEnd w:id="134"/>
    <w:p w14:paraId="3F6AAA45">
      <w:pPr>
        <w:widowControl/>
        <w:numPr>
          <w:ilvl w:val="0"/>
          <w:numId w:val="33"/>
        </w:numPr>
        <w:adjustRightInd/>
        <w:snapToGrid w:val="0"/>
        <w:spacing w:before="312" w:beforeLines="100" w:after="312" w:afterLines="100" w:line="240" w:lineRule="auto"/>
        <w:jc w:val="left"/>
        <w:outlineLvl w:val="0"/>
        <w:rPr>
          <w:rFonts w:ascii="Times New Roman" w:hAnsi="Times New Roman" w:eastAsia="黑体"/>
          <w:kern w:val="0"/>
        </w:rPr>
      </w:pPr>
      <w:bookmarkStart w:id="136" w:name="_Toc2399"/>
      <w:r>
        <w:rPr>
          <w:rFonts w:ascii="Times New Roman" w:hAnsi="Times New Roman" w:eastAsia="黑体"/>
          <w:kern w:val="0"/>
        </w:rPr>
        <w:t>验收</w:t>
      </w:r>
      <w:bookmarkEnd w:id="136"/>
    </w:p>
    <w:p w14:paraId="3947CF9E">
      <w:pPr>
        <w:snapToGrid w:val="0"/>
        <w:spacing w:line="240" w:lineRule="auto"/>
        <w:rPr>
          <w:rFonts w:ascii="Times New Roman" w:hAnsi="Times New Roman"/>
          <w:lang w:val="zh-CN"/>
        </w:rPr>
      </w:pPr>
      <w:bookmarkStart w:id="137" w:name="_Toc27287"/>
      <w:bookmarkStart w:id="138" w:name="_Toc3136"/>
      <w:bookmarkStart w:id="139" w:name="_Toc6416"/>
      <w:r>
        <w:rPr>
          <w:rFonts w:hint="eastAsia" w:ascii="黑体" w:hAnsi="黑体" w:eastAsia="黑体" w:cs="黑体"/>
        </w:rPr>
        <w:t>8.1</w:t>
      </w:r>
      <w:bookmarkEnd w:id="137"/>
      <w:bookmarkEnd w:id="138"/>
      <w:bookmarkEnd w:id="139"/>
      <w:r>
        <w:rPr>
          <w:rFonts w:ascii="Times New Roman" w:hAnsi="Times New Roman"/>
        </w:rPr>
        <w:t>　水产养殖设施应根据竣工图进行验收。</w:t>
      </w:r>
    </w:p>
    <w:p w14:paraId="21B6A169">
      <w:pPr>
        <w:snapToGrid w:val="0"/>
        <w:spacing w:line="240" w:lineRule="auto"/>
        <w:rPr>
          <w:rFonts w:ascii="Times New Roman" w:hAnsi="Times New Roman"/>
        </w:rPr>
      </w:pPr>
      <w:bookmarkStart w:id="140" w:name="_Toc500"/>
      <w:bookmarkStart w:id="141" w:name="_Toc1856"/>
      <w:bookmarkStart w:id="142" w:name="_Toc144"/>
      <w:r>
        <w:rPr>
          <w:rFonts w:hint="eastAsia" w:ascii="黑体" w:hAnsi="黑体" w:eastAsia="黑体" w:cs="黑体"/>
        </w:rPr>
        <w:t>8.2</w:t>
      </w:r>
      <w:bookmarkEnd w:id="140"/>
      <w:bookmarkEnd w:id="141"/>
      <w:bookmarkEnd w:id="142"/>
      <w:r>
        <w:rPr>
          <w:rFonts w:ascii="Times New Roman" w:hAnsi="Times New Roman"/>
        </w:rPr>
        <w:t>　光伏系统应按GB/T 50796规定验收。</w:t>
      </w:r>
    </w:p>
    <w:p w14:paraId="6BF53B5E">
      <w:pPr>
        <w:snapToGrid w:val="0"/>
        <w:spacing w:line="240" w:lineRule="auto"/>
        <w:rPr>
          <w:rFonts w:ascii="Times New Roman" w:hAnsi="Times New Roman"/>
          <w:lang w:val="zh-CN"/>
        </w:rPr>
      </w:pPr>
      <w:r>
        <w:rPr>
          <w:rFonts w:hint="eastAsia" w:ascii="黑体" w:hAnsi="黑体" w:eastAsia="黑体" w:cs="黑体"/>
        </w:rPr>
        <w:t>8.3</w:t>
      </w:r>
      <w:r>
        <w:rPr>
          <w:rFonts w:ascii="Times New Roman" w:hAnsi="Times New Roman"/>
        </w:rPr>
        <w:t>　养殖尾水应按照DB32</w:t>
      </w:r>
      <w:r>
        <w:rPr>
          <w:rFonts w:hint="eastAsia" w:ascii="Times New Roman" w:hAnsi="Times New Roman"/>
          <w:lang w:val="en-US" w:eastAsia="zh-CN"/>
        </w:rPr>
        <w:t>/</w:t>
      </w:r>
      <w:r>
        <w:rPr>
          <w:rFonts w:hint="eastAsia" w:ascii="Times New Roman" w:hAnsi="Times New Roman"/>
        </w:rPr>
        <w:t xml:space="preserve"> </w:t>
      </w:r>
      <w:r>
        <w:rPr>
          <w:rFonts w:ascii="Times New Roman" w:hAnsi="Times New Roman"/>
        </w:rPr>
        <w:t>4043规定验收。</w:t>
      </w:r>
    </w:p>
    <w:p w14:paraId="40E6A523">
      <w:pPr>
        <w:snapToGrid w:val="0"/>
        <w:spacing w:line="240" w:lineRule="auto"/>
        <w:rPr>
          <w:rFonts w:ascii="Times New Roman" w:hAnsi="Times New Roman"/>
        </w:rPr>
      </w:pPr>
      <w:bookmarkStart w:id="143" w:name="_Toc31041"/>
      <w:bookmarkStart w:id="144" w:name="_Toc4934"/>
      <w:bookmarkStart w:id="145" w:name="_Toc22047"/>
      <w:r>
        <w:rPr>
          <w:rFonts w:hint="eastAsia" w:ascii="黑体" w:hAnsi="黑体" w:eastAsia="黑体" w:cs="黑体"/>
        </w:rPr>
        <w:t>8.</w:t>
      </w:r>
      <w:bookmarkEnd w:id="143"/>
      <w:bookmarkEnd w:id="144"/>
      <w:bookmarkEnd w:id="145"/>
      <w:r>
        <w:rPr>
          <w:rFonts w:hint="eastAsia" w:ascii="黑体" w:hAnsi="黑体" w:eastAsia="黑体" w:cs="黑体"/>
        </w:rPr>
        <w:t>4</w:t>
      </w:r>
      <w:r>
        <w:rPr>
          <w:rFonts w:ascii="Times New Roman" w:hAnsi="Times New Roman"/>
        </w:rPr>
        <w:t>　应加强施工过程监管，对隐蔽工程应做好</w:t>
      </w:r>
      <w:bookmarkStart w:id="150" w:name="_GoBack"/>
      <w:bookmarkEnd w:id="150"/>
      <w:r>
        <w:rPr>
          <w:rFonts w:ascii="Times New Roman" w:hAnsi="Times New Roman"/>
        </w:rPr>
        <w:t>过程监控和验收，整个工程</w:t>
      </w:r>
      <w:r>
        <w:rPr>
          <w:rFonts w:hint="eastAsia" w:ascii="Times New Roman" w:hAnsi="Times New Roman"/>
        </w:rPr>
        <w:t>须</w:t>
      </w:r>
      <w:r>
        <w:rPr>
          <w:rFonts w:ascii="Times New Roman" w:hAnsi="Times New Roman"/>
        </w:rPr>
        <w:t>验收合格后</w:t>
      </w:r>
      <w:r>
        <w:rPr>
          <w:rFonts w:hint="eastAsia" w:ascii="Times New Roman" w:hAnsi="Times New Roman"/>
        </w:rPr>
        <w:t>，</w:t>
      </w:r>
      <w:r>
        <w:rPr>
          <w:rFonts w:ascii="Times New Roman" w:hAnsi="Times New Roman"/>
        </w:rPr>
        <w:t>方可投入生产</w:t>
      </w:r>
      <w:r>
        <w:rPr>
          <w:rFonts w:hint="eastAsia" w:ascii="Times New Roman" w:hAnsi="Times New Roman"/>
        </w:rPr>
        <w:t>使用</w:t>
      </w:r>
      <w:r>
        <w:rPr>
          <w:rFonts w:ascii="Times New Roman" w:hAnsi="Times New Roman"/>
        </w:rPr>
        <w:t>。</w:t>
      </w:r>
    </w:p>
    <w:p w14:paraId="326A74E5">
      <w:pPr>
        <w:pBdr>
          <w:between w:val="single" w:color="auto" w:sz="4" w:space="0"/>
        </w:pBdr>
        <w:snapToGrid w:val="0"/>
        <w:spacing w:line="240" w:lineRule="auto"/>
        <w:rPr>
          <w:rFonts w:ascii="Times New Roman" w:hAnsi="Times New Roman"/>
          <w:szCs w:val="24"/>
        </w:rPr>
      </w:pPr>
      <w:r>
        <w:rPr>
          <w:rFonts w:hint="eastAsia" w:ascii="黑体" w:hAnsi="黑体" w:eastAsia="黑体" w:cs="黑体"/>
        </w:rPr>
        <mc:AlternateContent>
          <mc:Choice Requires="wps">
            <w:drawing>
              <wp:anchor distT="0" distB="0" distL="114300" distR="114300" simplePos="0" relativeHeight="251662336" behindDoc="0" locked="0" layoutInCell="1" allowOverlap="1">
                <wp:simplePos x="0" y="0"/>
                <wp:positionH relativeFrom="column">
                  <wp:posOffset>2318385</wp:posOffset>
                </wp:positionH>
                <wp:positionV relativeFrom="paragraph">
                  <wp:posOffset>389890</wp:posOffset>
                </wp:positionV>
                <wp:extent cx="1483360" cy="7620"/>
                <wp:effectExtent l="0" t="0" r="21590" b="30480"/>
                <wp:wrapNone/>
                <wp:docPr id="1550835572" name="直接连接符 10"/>
                <wp:cNvGraphicFramePr/>
                <a:graphic xmlns:a="http://schemas.openxmlformats.org/drawingml/2006/main">
                  <a:graphicData uri="http://schemas.microsoft.com/office/word/2010/wordprocessingShape">
                    <wps:wsp>
                      <wps:cNvCnPr/>
                      <wps:spPr>
                        <a:xfrm flipV="1">
                          <a:off x="0" y="0"/>
                          <a:ext cx="1483360" cy="762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id="直接连接符 10" o:spid="_x0000_s1026" o:spt="20" style="position:absolute;left:0pt;flip:y;margin-left:182.55pt;margin-top:30.7pt;height:0.6pt;width:116.8pt;z-index:251662336;mso-width-relative:page;mso-height-relative:page;" filled="f" stroked="t" coordsize="21600,21600" o:gfxdata="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mkvBNoAAAAJAQAADwAAAAAAAAABACAAAAAi&#10;AAAAZHJzL2Rvd25yZXYueG1sUEsBAhQAFAAAAAgAh07iQBbbwisIAgAA6gMAAA4AAAAAAAAAAQAg&#10;AAAAKQEAAGRycy9lMm9Eb2MueG1sUEsFBgAAAAAGAAYAWQEAAKMFAAAAAA==&#10;">
                <v:fill on="f" focussize="0,0"/>
                <v:stroke color="#000000" miterlimit="8" joinstyle="miter"/>
                <v:imagedata o:title=""/>
                <o:lock v:ext="edit" aspectratio="f"/>
              </v:line>
            </w:pict>
          </mc:Fallback>
        </mc:AlternateContent>
      </w:r>
      <w:r>
        <w:rPr>
          <w:rFonts w:hint="eastAsia" w:ascii="黑体" w:hAnsi="黑体" w:eastAsia="黑体" w:cs="黑体"/>
        </w:rPr>
        <w:t>8.5</w:t>
      </w:r>
      <w:r>
        <w:rPr>
          <w:rFonts w:ascii="Times New Roman" w:hAnsi="Times New Roman"/>
        </w:rPr>
        <w:t>　明确养殖区、净化区与光伏区长效管理责任主体</w:t>
      </w:r>
      <w:bookmarkStart w:id="146" w:name="_Toc20240621"/>
      <w:bookmarkEnd w:id="146"/>
      <w:bookmarkStart w:id="147" w:name="_Toc25685776"/>
      <w:bookmarkEnd w:id="147"/>
      <w:bookmarkStart w:id="148" w:name="_Toc25069868"/>
      <w:bookmarkEnd w:id="148"/>
      <w:bookmarkStart w:id="149" w:name="_Toc25071023"/>
      <w:bookmarkEnd w:id="149"/>
      <w:r>
        <w:rPr>
          <w:rFonts w:ascii="Times New Roman" w:hAnsi="Times New Roman"/>
        </w:rPr>
        <w:t>。</w:t>
      </w:r>
    </w:p>
    <w:p w14:paraId="5E1ED98D">
      <w:pPr>
        <w:rPr>
          <w:rFonts w:hint="eastAsia" w:ascii="黑体" w:hAnsi="黑体" w:eastAsia="黑体"/>
          <w:sz w:val="32"/>
          <w:szCs w:val="32"/>
        </w:rPr>
      </w:pPr>
    </w:p>
    <w:sectPr>
      <w:headerReference r:id="rId12" w:type="default"/>
      <w:footerReference r:id="rId13"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5F4F1">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372E">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467C">
    <w:pPr>
      <w:pStyle w:val="1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71450" cy="131445"/>
              <wp:effectExtent l="1270" t="3175" r="0" b="0"/>
              <wp:wrapNone/>
              <wp:docPr id="827134074"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300D6C48">
                          <w:pPr>
                            <w:pStyle w:val="18"/>
                          </w:pPr>
                          <w:r>
                            <w:fldChar w:fldCharType="begin"/>
                          </w:r>
                          <w:r>
                            <w:instrText xml:space="preserve">PAGE   \* MERGEFORMAT</w:instrText>
                          </w:r>
                          <w:r>
                            <w:fldChar w:fldCharType="separate"/>
                          </w:r>
                          <w:r>
                            <w:rPr>
                              <w:lang w:val="zh-CN"/>
                            </w:rPr>
                            <w:t>I</w:t>
                          </w:r>
                          <w: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0.35pt;width:13.5pt;mso-position-horizontal:outside;mso-position-horizontal-relative:margin;mso-wrap-style:none;z-index:251659264;mso-width-relative:page;mso-height-relative:page;" filled="f" stroked="f" coordsize="21600,21600" o:gfxdata="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WOXIvPAAAAAwEAAA8AAAAAAAAAAQAgAAAAIgAA&#10;AGRycy9kb3ducmV2LnhtbFBLAQIUABQAAAAIAIdO4kBo74HKEQIAAAoEAAAOAAAAAAAAAAEAIAAA&#10;AB4BAABkcnMvZTJvRG9jLnhtbFBLBQYAAAAABgAGAFkBAAChBQAAAAA=&#10;">
              <v:fill on="f" focussize="0,0"/>
              <v:stroke on="f"/>
              <v:imagedata o:title=""/>
              <o:lock v:ext="edit" aspectratio="f"/>
              <v:textbox inset="0mm,0mm,0mm,0mm" style="mso-fit-shape-to-text:t;">
                <w:txbxContent>
                  <w:p w14:paraId="300D6C48">
                    <w:pPr>
                      <w:pStyle w:val="18"/>
                    </w:pPr>
                    <w:r>
                      <w:fldChar w:fldCharType="begin"/>
                    </w:r>
                    <w:r>
                      <w:instrText xml:space="preserve">PAGE   \* MERGEFORMAT</w:instrText>
                    </w:r>
                    <w:r>
                      <w:fldChar w:fldCharType="separate"/>
                    </w:r>
                    <w:r>
                      <w:rPr>
                        <w:lang w:val="zh-CN"/>
                      </w:rPr>
                      <w:t>I</w:t>
                    </w:r>
                    <w:r>
                      <w:fldChar w:fldCharType="end"/>
                    </w:r>
                  </w:p>
                </w:txbxContent>
              </v:textbox>
            </v:shape>
          </w:pict>
        </mc:Fallback>
      </mc:AlternateContent>
    </w:r>
  </w:p>
  <w:p w14:paraId="5E3F1462">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81EDC">
    <w:pPr>
      <w:pStyle w:val="1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209550" cy="131445"/>
              <wp:effectExtent l="4445" t="1270" r="0" b="635"/>
              <wp:wrapNone/>
              <wp:docPr id="23552794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p w14:paraId="7D573BEF">
                          <w:pPr>
                            <w:pStyle w:val="18"/>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0.35pt;width:16.5pt;mso-position-horizontal:outside;mso-position-horizontal-relative:margin;mso-wrap-style:none;z-index:251660288;mso-width-relative:page;mso-height-relative:page;" filled="f" stroked="f" coordsize="21600,21600" o:gfxdata="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WjjO7QAAAAAwEAAA8AAAAAAAAAAQAgAAAAIgAA&#10;AGRycy9kb3ducmV2LnhtbFBLAQIUABQAAAAIAIdO4kDcR6sVEAIAAAoEAAAOAAAAAAAAAAEAIAAA&#10;AB8BAABkcnMvZTJvRG9jLnhtbFBLBQYAAAAABgAGAFkBAAChBQAAAAA=&#10;">
              <v:fill on="f" focussize="0,0"/>
              <v:stroke on="f"/>
              <v:imagedata o:title=""/>
              <o:lock v:ext="edit" aspectratio="f"/>
              <v:textbox inset="0mm,0mm,0mm,0mm" style="mso-fit-shape-to-text:t;">
                <w:txbxContent>
                  <w:p w14:paraId="7D573BEF">
                    <w:pPr>
                      <w:pStyle w:val="1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1ED81">
    <w:pPr>
      <w:pStyle w:val="54"/>
    </w:pPr>
    <w:r>
      <w:fldChar w:fldCharType="begin"/>
    </w:r>
    <w:r>
      <w:instrText xml:space="preserve">PAGE   \* MERGEFORMAT</w:instrText>
    </w:r>
    <w:r>
      <w:fldChar w:fldCharType="separate"/>
    </w:r>
    <w:r>
      <w:rPr>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18F37">
    <w:pPr>
      <w:pStyle w:val="63"/>
      <w:rPr>
        <w:rFonts w:hint="eastAsia"/>
      </w:rPr>
    </w:pPr>
    <w:r>
      <w:fldChar w:fldCharType="begin"/>
    </w:r>
    <w:r>
      <w:instrText xml:space="preserve"> STYLEREF  标准文件_文件编号  \* MERGEFORMAT </w:instrText>
    </w:r>
    <w:r>
      <w:fldChar w:fldCharType="separate"/>
    </w:r>
    <w:r>
      <w:t>DB 32/T XXXX—202X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4EAC8">
    <w:pPr>
      <w:pStyle w:val="63"/>
      <w:jc w:val="left"/>
    </w:pPr>
    <w:r>
      <w:rPr>
        <w:rFonts w:hint="eastAsia"/>
      </w:rPr>
      <w:t>DB 32/T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2235A">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E2F9F">
    <w:pPr>
      <w:pStyle w:val="63"/>
      <w:rPr>
        <w:rFonts w:hint="eastAsia"/>
      </w:rPr>
    </w:pPr>
    <w:r>
      <w:fldChar w:fldCharType="begin"/>
    </w:r>
    <w:r>
      <w:instrText xml:space="preserve"> STYLEREF  标准文件_文件编号  \* MERGEFORMAT </w:instrText>
    </w:r>
    <w:r>
      <w:fldChar w:fldCharType="separate"/>
    </w:r>
    <w:r>
      <w:t>DB 32/T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8"/>
      <w:suff w:val="nothing"/>
      <w:lvlText w:val="%1.%2.%3　"/>
      <w:lvlJc w:val="left"/>
      <w:pPr>
        <w:ind w:left="141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23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2A2D92"/>
    <w:multiLevelType w:val="multilevel"/>
    <w:tmpl w:val="652A2D92"/>
    <w:lvl w:ilvl="0" w:tentative="0">
      <w:start w:val="1"/>
      <w:numFmt w:val="decimal"/>
      <w:lvlText w:val="%1"/>
      <w:lvlJc w:val="left"/>
      <w:pPr>
        <w:tabs>
          <w:tab w:val="left" w:pos="315"/>
        </w:tabs>
        <w:ind w:left="0" w:firstLine="0"/>
      </w:pPr>
      <w:rPr>
        <w:rFonts w:hint="default" w:ascii="黑体" w:hAnsi="黑体" w:eastAsia="黑体" w:cs="黑体"/>
      </w:rPr>
    </w:lvl>
    <w:lvl w:ilvl="1" w:tentative="0">
      <w:start w:val="1"/>
      <w:numFmt w:val="decimal"/>
      <w:isLgl/>
      <w:lvlText w:val="%1.%2"/>
      <w:lvlJc w:val="left"/>
      <w:pPr>
        <w:tabs>
          <w:tab w:val="left" w:pos="525"/>
        </w:tabs>
        <w:ind w:left="0" w:firstLine="0"/>
      </w:pPr>
      <w:rPr>
        <w:rFonts w:hint="default" w:ascii="黑体" w:hAnsi="黑体" w:eastAsia="黑体" w:cs="黑体"/>
      </w:rPr>
    </w:lvl>
    <w:lvl w:ilvl="2" w:tentative="0">
      <w:start w:val="1"/>
      <w:numFmt w:val="decimal"/>
      <w:isLgl/>
      <w:lvlText w:val="%1.%2.%3"/>
      <w:lvlJc w:val="left"/>
      <w:pPr>
        <w:ind w:left="1145" w:hanging="720"/>
      </w:pPr>
      <w:rPr>
        <w:rFonts w:hint="default"/>
      </w:rPr>
    </w:lvl>
    <w:lvl w:ilvl="3" w:tentative="0">
      <w:start w:val="1"/>
      <w:numFmt w:val="decimal"/>
      <w:isLgl/>
      <w:lvlText w:val="%1.%2.%3.%4"/>
      <w:lvlJc w:val="left"/>
      <w:pPr>
        <w:ind w:left="1505" w:hanging="1080"/>
      </w:pPr>
      <w:rPr>
        <w:rFonts w:hint="default"/>
      </w:rPr>
    </w:lvl>
    <w:lvl w:ilvl="4" w:tentative="0">
      <w:start w:val="1"/>
      <w:numFmt w:val="decimal"/>
      <w:isLgl/>
      <w:lvlText w:val="%1.%2.%3.%4.%5"/>
      <w:lvlJc w:val="left"/>
      <w:pPr>
        <w:ind w:left="1505" w:hanging="1080"/>
      </w:pPr>
      <w:rPr>
        <w:rFonts w:hint="default"/>
      </w:rPr>
    </w:lvl>
    <w:lvl w:ilvl="5" w:tentative="0">
      <w:start w:val="1"/>
      <w:numFmt w:val="decimal"/>
      <w:isLgl/>
      <w:lvlText w:val="%1.%2.%3.%4.%5.%6"/>
      <w:lvlJc w:val="left"/>
      <w:pPr>
        <w:ind w:left="1865" w:hanging="1440"/>
      </w:pPr>
      <w:rPr>
        <w:rFonts w:hint="default"/>
      </w:rPr>
    </w:lvl>
    <w:lvl w:ilvl="6" w:tentative="0">
      <w:start w:val="1"/>
      <w:numFmt w:val="decimal"/>
      <w:isLgl/>
      <w:lvlText w:val="%1.%2.%3.%4.%5.%6.%7"/>
      <w:lvlJc w:val="left"/>
      <w:pPr>
        <w:ind w:left="1865" w:hanging="1440"/>
      </w:pPr>
      <w:rPr>
        <w:rFonts w:hint="default"/>
      </w:rPr>
    </w:lvl>
    <w:lvl w:ilvl="7" w:tentative="0">
      <w:start w:val="1"/>
      <w:numFmt w:val="decimal"/>
      <w:isLgl/>
      <w:lvlText w:val="%1.%2.%3.%4.%5.%6.%7.%8"/>
      <w:lvlJc w:val="left"/>
      <w:pPr>
        <w:ind w:left="2225" w:hanging="1800"/>
      </w:pPr>
      <w:rPr>
        <w:rFonts w:hint="default"/>
      </w:rPr>
    </w:lvl>
    <w:lvl w:ilvl="8" w:tentative="0">
      <w:start w:val="1"/>
      <w:numFmt w:val="decimal"/>
      <w:isLgl/>
      <w:lvlText w:val="%1.%2.%3.%4.%5.%6.%7.%8.%9"/>
      <w:lvlJc w:val="left"/>
      <w:pPr>
        <w:ind w:left="2225" w:hanging="1800"/>
      </w:pPr>
      <w:rPr>
        <w:rFonts w:hint="default"/>
      </w:r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241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18"/>
  </w:num>
  <w:num w:numId="17">
    <w:abstractNumId w:val="31"/>
  </w:num>
  <w:num w:numId="18">
    <w:abstractNumId w:val="16"/>
  </w:num>
  <w:num w:numId="19">
    <w:abstractNumId w:val="1"/>
  </w:num>
  <w:num w:numId="20">
    <w:abstractNumId w:val="11"/>
  </w:num>
  <w:num w:numId="21">
    <w:abstractNumId w:val="32"/>
  </w:num>
  <w:num w:numId="22">
    <w:abstractNumId w:val="21"/>
  </w:num>
  <w:num w:numId="23">
    <w:abstractNumId w:val="6"/>
  </w:num>
  <w:num w:numId="24">
    <w:abstractNumId w:val="28"/>
  </w:num>
  <w:num w:numId="25">
    <w:abstractNumId w:val="30"/>
  </w:num>
  <w:num w:numId="26">
    <w:abstractNumId w:val="2"/>
  </w:num>
  <w:num w:numId="27">
    <w:abstractNumId w:val="4"/>
  </w:num>
  <w:num w:numId="28">
    <w:abstractNumId w:val="15"/>
  </w:num>
  <w:num w:numId="29">
    <w:abstractNumId w:val="26"/>
  </w:num>
  <w:num w:numId="30">
    <w:abstractNumId w:val="24"/>
  </w:num>
  <w:num w:numId="31">
    <w:abstractNumId w:val="10"/>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MzgzNDY2MjYyNWQxNzFiNTBhOGZiZTA0ODhkODQifQ=="/>
  </w:docVars>
  <w:rsids>
    <w:rsidRoot w:val="0076712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4B79"/>
    <w:rsid w:val="0002595E"/>
    <w:rsid w:val="00025B6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6D73"/>
    <w:rsid w:val="00104926"/>
    <w:rsid w:val="00113B1E"/>
    <w:rsid w:val="00116E3B"/>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616"/>
    <w:rsid w:val="001852C9"/>
    <w:rsid w:val="00190087"/>
    <w:rsid w:val="001913C4"/>
    <w:rsid w:val="0019271F"/>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0A0"/>
    <w:rsid w:val="002F7AF6"/>
    <w:rsid w:val="00300E63"/>
    <w:rsid w:val="00302F5F"/>
    <w:rsid w:val="0030441D"/>
    <w:rsid w:val="00305D1B"/>
    <w:rsid w:val="00306063"/>
    <w:rsid w:val="00313B85"/>
    <w:rsid w:val="00317988"/>
    <w:rsid w:val="003221B4"/>
    <w:rsid w:val="0032258D"/>
    <w:rsid w:val="00322E62"/>
    <w:rsid w:val="00324D13"/>
    <w:rsid w:val="00324D2A"/>
    <w:rsid w:val="00324EDD"/>
    <w:rsid w:val="00327B4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385"/>
    <w:rsid w:val="003872FC"/>
    <w:rsid w:val="00387ADC"/>
    <w:rsid w:val="00390020"/>
    <w:rsid w:val="003903D6"/>
    <w:rsid w:val="00390EE6"/>
    <w:rsid w:val="0039118F"/>
    <w:rsid w:val="00392AD7"/>
    <w:rsid w:val="003938D9"/>
    <w:rsid w:val="00394376"/>
    <w:rsid w:val="003943FF"/>
    <w:rsid w:val="00395700"/>
    <w:rsid w:val="003974EB"/>
    <w:rsid w:val="00397CC5"/>
    <w:rsid w:val="003A0D99"/>
    <w:rsid w:val="003A1582"/>
    <w:rsid w:val="003A4077"/>
    <w:rsid w:val="003A757C"/>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0D9"/>
    <w:rsid w:val="00432DAA"/>
    <w:rsid w:val="00434305"/>
    <w:rsid w:val="00435DF7"/>
    <w:rsid w:val="00437450"/>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B0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D2E"/>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63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08B8"/>
    <w:rsid w:val="006015CE"/>
    <w:rsid w:val="00604784"/>
    <w:rsid w:val="00606419"/>
    <w:rsid w:val="00607D29"/>
    <w:rsid w:val="00612952"/>
    <w:rsid w:val="00614CC1"/>
    <w:rsid w:val="00615A9D"/>
    <w:rsid w:val="00617387"/>
    <w:rsid w:val="006205D6"/>
    <w:rsid w:val="00620F8F"/>
    <w:rsid w:val="006246EF"/>
    <w:rsid w:val="006252D8"/>
    <w:rsid w:val="006259BC"/>
    <w:rsid w:val="0062636B"/>
    <w:rsid w:val="00632182"/>
    <w:rsid w:val="00632AE0"/>
    <w:rsid w:val="00633C17"/>
    <w:rsid w:val="0063431C"/>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55D"/>
    <w:rsid w:val="00732BC0"/>
    <w:rsid w:val="0073720F"/>
    <w:rsid w:val="00737796"/>
    <w:rsid w:val="0074151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2C"/>
    <w:rsid w:val="007671CA"/>
    <w:rsid w:val="00767C61"/>
    <w:rsid w:val="0077008A"/>
    <w:rsid w:val="00773C1F"/>
    <w:rsid w:val="00774DA4"/>
    <w:rsid w:val="00776599"/>
    <w:rsid w:val="0078114B"/>
    <w:rsid w:val="00781DD2"/>
    <w:rsid w:val="00783ECF"/>
    <w:rsid w:val="0078413A"/>
    <w:rsid w:val="00786EA9"/>
    <w:rsid w:val="007959E8"/>
    <w:rsid w:val="00795E9C"/>
    <w:rsid w:val="007A0521"/>
    <w:rsid w:val="007A2E12"/>
    <w:rsid w:val="007A3475"/>
    <w:rsid w:val="007A41C8"/>
    <w:rsid w:val="007A54CE"/>
    <w:rsid w:val="007A6FD9"/>
    <w:rsid w:val="007A732B"/>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17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21F"/>
    <w:rsid w:val="00867C10"/>
    <w:rsid w:val="00870439"/>
    <w:rsid w:val="00870DA1"/>
    <w:rsid w:val="00883F93"/>
    <w:rsid w:val="00884DB3"/>
    <w:rsid w:val="00885A9D"/>
    <w:rsid w:val="008864F6"/>
    <w:rsid w:val="0089049D"/>
    <w:rsid w:val="008928C9"/>
    <w:rsid w:val="00892F02"/>
    <w:rsid w:val="008930CB"/>
    <w:rsid w:val="008938DC"/>
    <w:rsid w:val="00893FD1"/>
    <w:rsid w:val="00894836"/>
    <w:rsid w:val="00895172"/>
    <w:rsid w:val="00895680"/>
    <w:rsid w:val="00896DFF"/>
    <w:rsid w:val="0089762C"/>
    <w:rsid w:val="008A1893"/>
    <w:rsid w:val="008A3215"/>
    <w:rsid w:val="008A57E6"/>
    <w:rsid w:val="008A6F81"/>
    <w:rsid w:val="008A769A"/>
    <w:rsid w:val="008B0A6C"/>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AC"/>
    <w:rsid w:val="008E4BB6"/>
    <w:rsid w:val="008E5518"/>
    <w:rsid w:val="008E68A5"/>
    <w:rsid w:val="008E6A84"/>
    <w:rsid w:val="008E7958"/>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080"/>
    <w:rsid w:val="009273B3"/>
    <w:rsid w:val="009305B5"/>
    <w:rsid w:val="009429D5"/>
    <w:rsid w:val="00942BF1"/>
    <w:rsid w:val="00945180"/>
    <w:rsid w:val="00945428"/>
    <w:rsid w:val="0094607B"/>
    <w:rsid w:val="00953604"/>
    <w:rsid w:val="0095496B"/>
    <w:rsid w:val="009610DC"/>
    <w:rsid w:val="00961490"/>
    <w:rsid w:val="0096252D"/>
    <w:rsid w:val="0096381A"/>
    <w:rsid w:val="00965E04"/>
    <w:rsid w:val="009674AD"/>
    <w:rsid w:val="00970CDC"/>
    <w:rsid w:val="00973B65"/>
    <w:rsid w:val="00977010"/>
    <w:rsid w:val="00977D02"/>
    <w:rsid w:val="009809BB"/>
    <w:rsid w:val="009835E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905"/>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D06"/>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D37"/>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363"/>
    <w:rsid w:val="00C94DF2"/>
    <w:rsid w:val="00C950BD"/>
    <w:rsid w:val="00C96741"/>
    <w:rsid w:val="00C97FA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B28"/>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58D"/>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8B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243"/>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EF7FC4"/>
    <w:rsid w:val="00F06D37"/>
    <w:rsid w:val="00F07B9D"/>
    <w:rsid w:val="00F11586"/>
    <w:rsid w:val="00F1183B"/>
    <w:rsid w:val="00F11C9F"/>
    <w:rsid w:val="00F12263"/>
    <w:rsid w:val="00F1409D"/>
    <w:rsid w:val="00F14214"/>
    <w:rsid w:val="00F157A9"/>
    <w:rsid w:val="00F25BB6"/>
    <w:rsid w:val="00F26B7E"/>
    <w:rsid w:val="00F27A3B"/>
    <w:rsid w:val="00F313AB"/>
    <w:rsid w:val="00F33817"/>
    <w:rsid w:val="00F420D5"/>
    <w:rsid w:val="00F451EA"/>
    <w:rsid w:val="00F45447"/>
    <w:rsid w:val="00F456C6"/>
    <w:rsid w:val="00F4577B"/>
    <w:rsid w:val="00F46496"/>
    <w:rsid w:val="00F474D0"/>
    <w:rsid w:val="00F50179"/>
    <w:rsid w:val="00F515EE"/>
    <w:rsid w:val="00F56511"/>
    <w:rsid w:val="00F56C39"/>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0F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090109"/>
    <w:rsid w:val="06470975"/>
    <w:rsid w:val="0B661E72"/>
    <w:rsid w:val="137C797D"/>
    <w:rsid w:val="14BF71E2"/>
    <w:rsid w:val="15007642"/>
    <w:rsid w:val="17C558D5"/>
    <w:rsid w:val="1C461987"/>
    <w:rsid w:val="1E410AD0"/>
    <w:rsid w:val="256D5B8D"/>
    <w:rsid w:val="2942634E"/>
    <w:rsid w:val="2A58084E"/>
    <w:rsid w:val="2BA2500E"/>
    <w:rsid w:val="2CBF5B79"/>
    <w:rsid w:val="31C0486E"/>
    <w:rsid w:val="343230D5"/>
    <w:rsid w:val="35A6162C"/>
    <w:rsid w:val="35E43FEA"/>
    <w:rsid w:val="451D4EF5"/>
    <w:rsid w:val="45454DB4"/>
    <w:rsid w:val="481D675B"/>
    <w:rsid w:val="490B1325"/>
    <w:rsid w:val="51022612"/>
    <w:rsid w:val="5A041C37"/>
    <w:rsid w:val="648900AC"/>
    <w:rsid w:val="6B8A321B"/>
    <w:rsid w:val="6E566F21"/>
    <w:rsid w:val="725F73A4"/>
    <w:rsid w:val="76BB24DB"/>
    <w:rsid w:val="76DA1791"/>
    <w:rsid w:val="78CB0006"/>
    <w:rsid w:val="7A90158F"/>
    <w:rsid w:val="7AA57D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Plain Text"/>
    <w:basedOn w:val="1"/>
    <w:qFormat/>
    <w:uiPriority w:val="0"/>
    <w:rPr>
      <w:rFonts w:ascii="宋体" w:hAnsi="Courier New" w:cs="Courier New"/>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b/>
      <w:bCs/>
      <w:kern w:val="44"/>
      <w:sz w:val="44"/>
      <w:szCs w:val="44"/>
    </w:rPr>
  </w:style>
  <w:style w:type="character" w:customStyle="1" w:styleId="37">
    <w:name w:val="标题 2 字符"/>
    <w:link w:val="3"/>
    <w:autoRedefine/>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autoRedefine/>
    <w:qFormat/>
    <w:uiPriority w:val="0"/>
    <w:rPr>
      <w:rFonts w:ascii="Arial" w:hAnsi="Arial" w:eastAsia="黑体"/>
      <w:b/>
      <w:bCs/>
      <w:kern w:val="2"/>
      <w:sz w:val="28"/>
      <w:szCs w:val="28"/>
    </w:rPr>
  </w:style>
  <w:style w:type="character" w:customStyle="1" w:styleId="40">
    <w:name w:val="标题 5 字符"/>
    <w:link w:val="6"/>
    <w:autoRedefine/>
    <w:qFormat/>
    <w:uiPriority w:val="0"/>
    <w:rPr>
      <w:b/>
      <w:bCs/>
      <w:kern w:val="2"/>
      <w:sz w:val="28"/>
      <w:szCs w:val="28"/>
    </w:rPr>
  </w:style>
  <w:style w:type="character" w:customStyle="1" w:styleId="41">
    <w:name w:val="标题 6 字符"/>
    <w:link w:val="7"/>
    <w:autoRedefine/>
    <w:qFormat/>
    <w:uiPriority w:val="0"/>
    <w:rPr>
      <w:rFonts w:ascii="Arial" w:hAnsi="Arial" w:eastAsia="黑体"/>
      <w:b/>
      <w:bCs/>
      <w:kern w:val="2"/>
      <w:sz w:val="24"/>
      <w:szCs w:val="24"/>
    </w:rPr>
  </w:style>
  <w:style w:type="character" w:customStyle="1" w:styleId="42">
    <w:name w:val="标题 7 字符"/>
    <w:link w:val="8"/>
    <w:autoRedefine/>
    <w:qFormat/>
    <w:uiPriority w:val="0"/>
    <w:rPr>
      <w:b/>
      <w:bCs/>
      <w:kern w:val="2"/>
      <w:sz w:val="24"/>
      <w:szCs w:val="24"/>
    </w:rPr>
  </w:style>
  <w:style w:type="character" w:customStyle="1" w:styleId="43">
    <w:name w:val="标题 8 字符"/>
    <w:link w:val="9"/>
    <w:autoRedefine/>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autoRedefine/>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ind w:left="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19"/>
      </w:numPr>
      <w:adjustRightInd/>
    </w:pPr>
    <w:rPr>
      <w:szCs w:val="24"/>
    </w:rPr>
  </w:style>
  <w:style w:type="paragraph" w:customStyle="1" w:styleId="161">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autoRedefine/>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2"/>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3"/>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4"/>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autoRedefine/>
    <w:qFormat/>
    <w:uiPriority w:val="0"/>
    <w:pPr>
      <w:numPr>
        <w:ilvl w:val="1"/>
        <w:numId w:val="20"/>
      </w:numPr>
      <w:ind w:firstLine="0" w:firstLineChars="0"/>
    </w:pPr>
  </w:style>
  <w:style w:type="paragraph" w:customStyle="1" w:styleId="190">
    <w:name w:val="标准文件_三级项2"/>
    <w:basedOn w:val="58"/>
    <w:qFormat/>
    <w:uiPriority w:val="0"/>
    <w:pPr>
      <w:numPr>
        <w:ilvl w:val="0"/>
        <w:numId w:val="29"/>
      </w:numPr>
      <w:spacing w:line="300" w:lineRule="exact"/>
      <w:ind w:firstLineChars="0"/>
    </w:pPr>
    <w:rPr>
      <w:rFonts w:ascii="Times New Roman"/>
    </w:rPr>
  </w:style>
  <w:style w:type="paragraph" w:customStyle="1" w:styleId="191">
    <w:name w:val="标准文件_一级项2"/>
    <w:basedOn w:val="58"/>
    <w:qFormat/>
    <w:uiPriority w:val="0"/>
    <w:pPr>
      <w:numPr>
        <w:ilvl w:val="0"/>
        <w:numId w:val="30"/>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Lines="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Lines="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Lines="0" w:afterLines="0" w:line="276" w:lineRule="auto"/>
    </w:pPr>
    <w:rPr>
      <w:rFonts w:ascii="宋体" w:eastAsia="宋体"/>
    </w:rPr>
  </w:style>
  <w:style w:type="paragraph" w:customStyle="1" w:styleId="220">
    <w:name w:val="标准文件_引言三级无标题"/>
    <w:basedOn w:val="204"/>
    <w:autoRedefine/>
    <w:qFormat/>
    <w:uiPriority w:val="0"/>
    <w:pPr>
      <w:spacing w:beforeLines="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Lines="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Lines="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autoRedefine/>
    <w:qFormat/>
    <w:uiPriority w:val="0"/>
    <w:rPr>
      <w:rFonts w:ascii="黑体" w:eastAsia="黑体"/>
      <w:spacing w:val="85"/>
      <w:w w:val="100"/>
      <w:position w:val="3"/>
      <w:sz w:val="28"/>
      <w:szCs w:val="28"/>
    </w:rPr>
  </w:style>
  <w:style w:type="paragraph" w:styleId="232">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33">
    <w:name w:val="不明显强调1"/>
    <w:basedOn w:val="30"/>
    <w:autoRedefine/>
    <w:qFormat/>
    <w:uiPriority w:val="19"/>
    <w:rPr>
      <w:i/>
      <w:iCs/>
      <w:color w:val="808080" w:themeColor="text1" w:themeTint="80"/>
      <w14:textFill>
        <w14:solidFill>
          <w14:schemeClr w14:val="tx1">
            <w14:lumMod w14:val="50000"/>
            <w14:lumOff w14:val="50000"/>
          </w14:schemeClr>
        </w14:solidFill>
      </w14:textFill>
    </w:rPr>
  </w:style>
  <w:style w:type="paragraph" w:customStyle="1" w:styleId="234">
    <w:name w:val="一级无"/>
    <w:basedOn w:val="235"/>
    <w:qFormat/>
    <w:uiPriority w:val="0"/>
    <w:pPr>
      <w:spacing w:beforeLines="0" w:afterLines="0"/>
    </w:pPr>
    <w:rPr>
      <w:rFonts w:ascii="宋体" w:eastAsia="宋体"/>
    </w:rPr>
  </w:style>
  <w:style w:type="paragraph" w:customStyle="1" w:styleId="235">
    <w:name w:val="一级条标题"/>
    <w:next w:val="236"/>
    <w:qFormat/>
    <w:uiPriority w:val="0"/>
    <w:pPr>
      <w:numPr>
        <w:ilvl w:val="1"/>
        <w:numId w:val="31"/>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正文表标题"/>
    <w:next w:val="236"/>
    <w:qFormat/>
    <w:uiPriority w:val="0"/>
    <w:pPr>
      <w:numPr>
        <w:ilvl w:val="0"/>
        <w:numId w:val="3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8">
    <w:name w:val="二级条标题"/>
    <w:basedOn w:val="235"/>
    <w:next w:val="236"/>
    <w:qFormat/>
    <w:uiPriority w:val="0"/>
    <w:pPr>
      <w:numPr>
        <w:ilvl w:val="2"/>
      </w:numPr>
      <w:spacing w:before="50" w:after="50"/>
      <w:outlineLvl w:val="3"/>
    </w:pPr>
  </w:style>
  <w:style w:type="paragraph" w:customStyle="1" w:styleId="239">
    <w:name w:val="目次、标准名称标题"/>
    <w:basedOn w:val="1"/>
    <w:next w:val="236"/>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0338EE363446FAB43A5FE98642D91C"/>
        <w:style w:val=""/>
        <w:category>
          <w:name w:val="常规"/>
          <w:gallery w:val="placeholder"/>
        </w:category>
        <w:types>
          <w:type w:val="bbPlcHdr"/>
        </w:types>
        <w:behaviors>
          <w:behavior w:val="content"/>
        </w:behaviors>
        <w:description w:val=""/>
        <w:guid w:val="{8C12D1D6-67EE-4E7F-A903-7CDF6B89F69C}"/>
      </w:docPartPr>
      <w:docPartBody>
        <w:p w14:paraId="7E124210">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36004"/>
    <w:rsid w:val="00136004"/>
    <w:rsid w:val="00177349"/>
    <w:rsid w:val="005F06DA"/>
    <w:rsid w:val="005F557C"/>
    <w:rsid w:val="0063431C"/>
    <w:rsid w:val="00651E67"/>
    <w:rsid w:val="008E613C"/>
    <w:rsid w:val="00A32B0C"/>
    <w:rsid w:val="00A63E6C"/>
    <w:rsid w:val="00CA3715"/>
    <w:rsid w:val="00CD3F5A"/>
    <w:rsid w:val="00D336D3"/>
    <w:rsid w:val="00E9190C"/>
    <w:rsid w:val="00F5714F"/>
    <w:rsid w:val="00F70916"/>
    <w:rsid w:val="00FB7D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0338EE363446FAB43A5FE98642D91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2FF538-A36B-4E89-A6D9-8567509B1E6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2633</Words>
  <Characters>3186</Characters>
  <Lines>32</Lines>
  <Paragraphs>9</Paragraphs>
  <TotalTime>8</TotalTime>
  <ScaleCrop>false</ScaleCrop>
  <LinksUpToDate>false</LinksUpToDate>
  <CharactersWithSpaces>3365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2024-05-31T07:31:00Z</dcterms:created>
  <dc:creator>黄朝晖</dc:creator>
  <dc:description>&lt;config cover="true" show_menu="true" version="1.0.0" doctype="SDKXY"&gt;_x000d_
&lt;/config&gt;</dc:description>
  <cp:lastModifiedBy>鲍恩财</cp:lastModifiedBy>
  <cp:lastPrinted>2020-08-30T10:00:00Z</cp:lastPrinted>
  <dcterms:modified xsi:type="dcterms:W3CDTF">2024-10-17T15:26:03Z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615EAF4551494337803CD5513B544A29_13</vt:lpwstr>
  </property>
</Properties>
</file>